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rtl w:val="0"/>
        </w:rPr>
        <w:t xml:space="preserve">SHREC.IO - Financial and Business Plan for SHREC Real Estate Tokenization Project  </w:t>
      </w:r>
    </w:p>
    <w:p w:rsidR="00000000" w:rsidDel="00000000" w:rsidP="00000000" w:rsidRDefault="00000000" w:rsidRPr="00000000" w14:paraId="0000000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This financial plan incorporates updated tax rates and optimized operational structure with minimal internal staff. The analysis focuses on profitability under new tax regimes (21% corporate tax in Czech Republic vs. 15% in Serbia) and fully outsourced operations except for one administrative employee.  </w:t>
      </w:r>
    </w:p>
    <w:p w:rsidR="00000000" w:rsidDel="00000000" w:rsidP="00000000" w:rsidRDefault="00000000" w:rsidRPr="00000000" w14:paraId="00000004">
      <w:pPr>
        <w:pStyle w:val="Heading2"/>
        <w:rPr/>
      </w:pPr>
      <w:r w:rsidDel="00000000" w:rsidR="00000000" w:rsidRPr="00000000">
        <w:rPr>
          <w:rtl w:val="0"/>
        </w:rPr>
        <w:t xml:space="preserve">Executive Summary  </w:t>
      </w:r>
    </w:p>
    <w:p w:rsidR="00000000" w:rsidDel="00000000" w:rsidP="00000000" w:rsidRDefault="00000000" w:rsidRPr="00000000" w14:paraId="0000000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project leverages tokenization to democratize real estate investment, targeting a 6-8% annual return through strategic acquisitions, AI-driven management, and cost-efficient operations. Key updates:  </w:t>
      </w:r>
    </w:p>
    <w:p w:rsidR="00000000" w:rsidDel="00000000" w:rsidP="00000000" w:rsidRDefault="00000000" w:rsidRPr="00000000" w14:paraId="0000000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Corporate tax adjustments: 21% in Czech Republic (+2% vs. previous plan), 15% in Serbia  </w:t>
      </w:r>
    </w:p>
    <w:p w:rsidR="00000000" w:rsidDel="00000000" w:rsidP="00000000" w:rsidRDefault="00000000" w:rsidRPr="00000000" w14:paraId="0000000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Staff restructuring: 1 internal administrative worker (€1,500/month) + outsourced roles (€15,000/month total)  </w:t>
      </w:r>
    </w:p>
    <w:p w:rsidR="00000000" w:rsidDel="00000000" w:rsidP="00000000" w:rsidRDefault="00000000" w:rsidRPr="00000000" w14:paraId="0000000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Improved net margins: Reduced personnel costs lower breakeven thresholds by 17.5%  </w:t>
      </w:r>
    </w:p>
    <w:p w:rsidR="00000000" w:rsidDel="00000000" w:rsidP="00000000" w:rsidRDefault="00000000" w:rsidRPr="00000000" w14:paraId="00000009">
      <w:pPr>
        <w:pStyle w:val="Heading2"/>
        <w:rPr/>
      </w:pPr>
      <w:r w:rsidDel="00000000" w:rsidR="00000000" w:rsidRPr="00000000">
        <w:rPr>
          <w:rtl w:val="0"/>
        </w:rPr>
        <w:t xml:space="preserve"> Key Financial Metrics  </w:t>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0"/>
        <w:gridCol w:w="3021"/>
        <w:gridCol w:w="3021"/>
        <w:tblGridChange w:id="0">
          <w:tblGrid>
            <w:gridCol w:w="3020"/>
            <w:gridCol w:w="3021"/>
            <w:gridCol w:w="3021"/>
          </w:tblGrid>
        </w:tblGridChange>
      </w:tblGrid>
      <w:tr>
        <w:trPr>
          <w:cantSplit w:val="0"/>
          <w:tblHeader w:val="0"/>
        </w:trPr>
        <w:tc>
          <w:tcPr/>
          <w:p w:rsidR="00000000" w:rsidDel="00000000" w:rsidP="00000000" w:rsidRDefault="00000000" w:rsidRPr="00000000" w14:paraId="0000000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Metric</w:t>
            </w:r>
          </w:p>
        </w:tc>
        <w:tc>
          <w:tcPr/>
          <w:p w:rsidR="00000000" w:rsidDel="00000000" w:rsidP="00000000" w:rsidRDefault="00000000" w:rsidRPr="00000000" w14:paraId="0000000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Original Plan</w:t>
            </w:r>
          </w:p>
        </w:tc>
        <w:tc>
          <w:tcPr/>
          <w:p w:rsidR="00000000" w:rsidDel="00000000" w:rsidP="00000000" w:rsidRDefault="00000000" w:rsidRPr="00000000" w14:paraId="0000000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Revised Plan</w:t>
            </w:r>
          </w:p>
        </w:tc>
      </w:tr>
      <w:tr>
        <w:trPr>
          <w:cantSplit w:val="0"/>
          <w:tblHeader w:val="0"/>
        </w:trPr>
        <w:tc>
          <w:tcPr/>
          <w:p w:rsidR="00000000" w:rsidDel="00000000" w:rsidP="00000000" w:rsidRDefault="00000000" w:rsidRPr="00000000" w14:paraId="0000000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Annual Personnel Costs</w:t>
            </w:r>
          </w:p>
        </w:tc>
        <w:tc>
          <w:tcPr/>
          <w:p w:rsidR="00000000" w:rsidDel="00000000" w:rsidP="00000000" w:rsidRDefault="00000000" w:rsidRPr="00000000" w14:paraId="0000000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€240,000</w:t>
            </w:r>
          </w:p>
        </w:tc>
        <w:tc>
          <w:tcPr/>
          <w:p w:rsidR="00000000" w:rsidDel="00000000" w:rsidP="00000000" w:rsidRDefault="00000000" w:rsidRPr="00000000" w14:paraId="0000000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€198,000</w:t>
            </w:r>
          </w:p>
        </w:tc>
      </w:tr>
      <w:tr>
        <w:trPr>
          <w:cantSplit w:val="0"/>
          <w:tblHeader w:val="0"/>
        </w:trPr>
        <w:tc>
          <w:tcPr/>
          <w:p w:rsidR="00000000" w:rsidDel="00000000" w:rsidP="00000000" w:rsidRDefault="00000000" w:rsidRPr="00000000" w14:paraId="0000001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Break-Even Portfolio Size</w:t>
            </w:r>
          </w:p>
        </w:tc>
        <w:tc>
          <w:tcPr/>
          <w:p w:rsidR="00000000" w:rsidDel="00000000" w:rsidP="00000000" w:rsidRDefault="00000000" w:rsidRPr="00000000" w14:paraId="0000001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8 Properties</w:t>
            </w:r>
          </w:p>
        </w:tc>
        <w:tc>
          <w:tcPr/>
          <w:p w:rsidR="00000000" w:rsidDel="00000000" w:rsidP="00000000" w:rsidRDefault="00000000" w:rsidRPr="00000000" w14:paraId="0000001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 Properties</w:t>
            </w:r>
          </w:p>
        </w:tc>
      </w:tr>
      <w:tr>
        <w:trPr>
          <w:cantSplit w:val="0"/>
          <w:tblHeader w:val="0"/>
        </w:trPr>
        <w:tc>
          <w:tcPr/>
          <w:p w:rsidR="00000000" w:rsidDel="00000000" w:rsidP="00000000" w:rsidRDefault="00000000" w:rsidRPr="00000000" w14:paraId="0000001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5-Year Investor IRR</w:t>
            </w:r>
          </w:p>
        </w:tc>
        <w:tc>
          <w:tcPr/>
          <w:p w:rsidR="00000000" w:rsidDel="00000000" w:rsidP="00000000" w:rsidRDefault="00000000" w:rsidRPr="00000000" w14:paraId="0000001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6.2%</w:t>
            </w:r>
          </w:p>
        </w:tc>
        <w:tc>
          <w:tcPr/>
          <w:p w:rsidR="00000000" w:rsidDel="00000000" w:rsidP="00000000" w:rsidRDefault="00000000" w:rsidRPr="00000000" w14:paraId="0000001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6.8%</w:t>
            </w:r>
          </w:p>
        </w:tc>
      </w:tr>
    </w:tbl>
    <w:p w:rsidR="00000000" w:rsidDel="00000000" w:rsidP="00000000" w:rsidRDefault="00000000" w:rsidRPr="00000000" w14:paraId="00000016">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7">
      <w:pPr>
        <w:pStyle w:val="Heading2"/>
        <w:rPr/>
      </w:pPr>
      <w:r w:rsidDel="00000000" w:rsidR="00000000" w:rsidRPr="00000000">
        <w:rPr>
          <w:rtl w:val="0"/>
        </w:rPr>
        <w:t xml:space="preserve"> Business Model &amp; Tokenization Structure  </w:t>
      </w:r>
    </w:p>
    <w:p w:rsidR="00000000" w:rsidDel="00000000" w:rsidP="00000000" w:rsidRDefault="00000000" w:rsidRPr="00000000" w14:paraId="00000018">
      <w:pPr>
        <w:pStyle w:val="Heading3"/>
        <w:rPr/>
      </w:pPr>
      <w:r w:rsidDel="00000000" w:rsidR="00000000" w:rsidRPr="00000000">
        <w:rPr>
          <w:rtl w:val="0"/>
        </w:rPr>
        <w:t xml:space="preserve"> Hybrid Investment Platform  </w:t>
      </w:r>
    </w:p>
    <w:p w:rsidR="00000000" w:rsidDel="00000000" w:rsidP="00000000" w:rsidRDefault="00000000" w:rsidRPr="00000000" w14:paraId="0000001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 Token Sales: Minimum €100/token representing fractional ownership  </w:t>
      </w:r>
    </w:p>
    <w:p w:rsidR="00000000" w:rsidDel="00000000" w:rsidP="00000000" w:rsidRDefault="00000000" w:rsidRPr="00000000" w14:paraId="0000001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 Direct Fund Investments: For institutional players (&gt;€50,000)  </w:t>
      </w:r>
    </w:p>
    <w:p w:rsidR="00000000" w:rsidDel="00000000" w:rsidP="00000000" w:rsidRDefault="00000000" w:rsidRPr="00000000" w14:paraId="0000001B">
      <w:pPr>
        <w:pStyle w:val="Heading3"/>
        <w:rPr/>
      </w:pPr>
      <w:r w:rsidDel="00000000" w:rsidR="00000000" w:rsidRPr="00000000">
        <w:rPr>
          <w:rtl w:val="0"/>
        </w:rPr>
        <w:t xml:space="preserve"> Fee Structure  </w:t>
      </w:r>
    </w:p>
    <w:p w:rsidR="00000000" w:rsidDel="00000000" w:rsidP="00000000" w:rsidRDefault="00000000" w:rsidRPr="00000000" w14:paraId="0000001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Management Fee: 2% of asset value (1% promotional rate for first 12 months)  </w:t>
      </w:r>
    </w:p>
    <w:p w:rsidR="00000000" w:rsidDel="00000000" w:rsidP="00000000" w:rsidRDefault="00000000" w:rsidRPr="00000000" w14:paraId="0000001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Performance Fee: 20% of capital gains upon property sales  </w:t>
      </w:r>
    </w:p>
    <w:p w:rsidR="00000000" w:rsidDel="00000000" w:rsidP="00000000" w:rsidRDefault="00000000" w:rsidRPr="00000000" w14:paraId="0000001E">
      <w:pPr>
        <w:pStyle w:val="Heading3"/>
        <w:rPr/>
      </w:pPr>
      <w:r w:rsidDel="00000000" w:rsidR="00000000" w:rsidRPr="00000000">
        <w:rPr>
          <w:rtl w:val="0"/>
        </w:rPr>
        <w:t xml:space="preserve"> Operational Workflow  </w:t>
      </w:r>
    </w:p>
    <w:p w:rsidR="00000000" w:rsidDel="00000000" w:rsidP="00000000" w:rsidRDefault="00000000" w:rsidRPr="00000000" w14:paraId="0000001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 AI-Powered Acquisition: Identify properties priced 10-15% below market  </w:t>
      </w:r>
    </w:p>
    <w:p w:rsidR="00000000" w:rsidDel="00000000" w:rsidP="00000000" w:rsidRDefault="00000000" w:rsidRPr="00000000" w14:paraId="0000002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 Streamlined Renovation: €8,500/property budget using pre-approved contractors  </w:t>
      </w:r>
    </w:p>
    <w:p w:rsidR="00000000" w:rsidDel="00000000" w:rsidP="00000000" w:rsidRDefault="00000000" w:rsidRPr="00000000" w14:paraId="0000002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 Automated Management: AI chatbots handle 85% of tenant interactions  </w:t>
      </w:r>
    </w:p>
    <w:p w:rsidR="00000000" w:rsidDel="00000000" w:rsidP="00000000" w:rsidRDefault="00000000" w:rsidRPr="00000000" w14:paraId="00000022">
      <w:pPr>
        <w:pStyle w:val="Heading3"/>
        <w:rPr/>
      </w:pPr>
      <w:r w:rsidDel="00000000" w:rsidR="00000000" w:rsidRPr="00000000">
        <w:rPr>
          <w:rtl w:val="0"/>
        </w:rPr>
        <w:t xml:space="preserve">How much investor would obtain - Financial Analysis (Per Property Basis) - we are doing our best to give you your investment back ASAP</w:t>
      </w:r>
    </w:p>
    <w:p w:rsidR="00000000" w:rsidDel="00000000" w:rsidP="00000000" w:rsidRDefault="00000000" w:rsidRPr="00000000" w14:paraId="0000002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4">
      <w:pPr>
        <w:pStyle w:val="Heading3"/>
        <w:rPr/>
      </w:pPr>
      <w:r w:rsidDel="00000000" w:rsidR="00000000" w:rsidRPr="00000000">
        <w:rPr>
          <w:rtl w:val="0"/>
        </w:rPr>
        <w:t xml:space="preserve"> Assumptions for Czech Republic  </w:t>
      </w:r>
    </w:p>
    <w:p w:rsidR="00000000" w:rsidDel="00000000" w:rsidP="00000000" w:rsidRDefault="00000000" w:rsidRPr="00000000" w14:paraId="0000002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Purchase Price: €170,000 (15% below market)  </w:t>
      </w:r>
    </w:p>
    <w:p w:rsidR="00000000" w:rsidDel="00000000" w:rsidP="00000000" w:rsidRDefault="00000000" w:rsidRPr="00000000" w14:paraId="0000002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Renovation: €8,500 - €10,000  </w:t>
      </w:r>
    </w:p>
    <w:p w:rsidR="00000000" w:rsidDel="00000000" w:rsidP="00000000" w:rsidRDefault="00000000" w:rsidRPr="00000000" w14:paraId="0000002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Post-Renovation Value: €210,000  </w:t>
      </w:r>
    </w:p>
    <w:p w:rsidR="00000000" w:rsidDel="00000000" w:rsidP="00000000" w:rsidRDefault="00000000" w:rsidRPr="00000000" w14:paraId="0000002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Mortgage: 60% LTV at 4% interest over 20 years  </w:t>
      </w:r>
    </w:p>
    <w:p w:rsidR="00000000" w:rsidDel="00000000" w:rsidP="00000000" w:rsidRDefault="00000000" w:rsidRPr="00000000" w14:paraId="00000029">
      <w:pPr>
        <w:pStyle w:val="Heading4"/>
        <w:rPr/>
      </w:pPr>
      <w:r w:rsidDel="00000000" w:rsidR="00000000" w:rsidRPr="00000000">
        <w:rPr>
          <w:rtl w:val="0"/>
        </w:rPr>
        <w:t xml:space="preserve">5-Year Projections  </w:t>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265"/>
        <w:gridCol w:w="2266"/>
        <w:gridCol w:w="2266"/>
        <w:tblGridChange w:id="0">
          <w:tblGrid>
            <w:gridCol w:w="2265"/>
            <w:gridCol w:w="2265"/>
            <w:gridCol w:w="2266"/>
            <w:gridCol w:w="2266"/>
          </w:tblGrid>
        </w:tblGridChange>
      </w:tblGrid>
      <w:tr>
        <w:trPr>
          <w:cantSplit w:val="0"/>
          <w:tblHeader w:val="0"/>
        </w:trPr>
        <w:tc>
          <w:tcPr/>
          <w:p w:rsidR="00000000" w:rsidDel="00000000" w:rsidP="00000000" w:rsidRDefault="00000000" w:rsidRPr="00000000" w14:paraId="0000002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Year</w:t>
            </w:r>
          </w:p>
        </w:tc>
        <w:tc>
          <w:tcPr/>
          <w:p w:rsidR="00000000" w:rsidDel="00000000" w:rsidP="00000000" w:rsidRDefault="00000000" w:rsidRPr="00000000" w14:paraId="0000002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Properties</w:t>
            </w:r>
          </w:p>
        </w:tc>
        <w:tc>
          <w:tcPr/>
          <w:p w:rsidR="00000000" w:rsidDel="00000000" w:rsidP="00000000" w:rsidRDefault="00000000" w:rsidRPr="00000000" w14:paraId="0000002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AUM</w:t>
            </w:r>
          </w:p>
        </w:tc>
        <w:tc>
          <w:tcPr/>
          <w:p w:rsidR="00000000" w:rsidDel="00000000" w:rsidP="00000000" w:rsidRDefault="00000000" w:rsidRPr="00000000" w14:paraId="0000002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Investor Returns</w:t>
            </w:r>
          </w:p>
        </w:tc>
      </w:tr>
      <w:tr>
        <w:trPr>
          <w:cantSplit w:val="0"/>
          <w:tblHeader w:val="0"/>
        </w:trPr>
        <w:tc>
          <w:tcPr/>
          <w:p w:rsidR="00000000" w:rsidDel="00000000" w:rsidP="00000000" w:rsidRDefault="00000000" w:rsidRPr="00000000" w14:paraId="0000002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w:t>
            </w:r>
          </w:p>
        </w:tc>
        <w:tc>
          <w:tcPr/>
          <w:p w:rsidR="00000000" w:rsidDel="00000000" w:rsidP="00000000" w:rsidRDefault="00000000" w:rsidRPr="00000000" w14:paraId="0000002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w:t>
            </w:r>
          </w:p>
        </w:tc>
        <w:tc>
          <w:tcPr/>
          <w:p w:rsidR="00000000" w:rsidDel="00000000" w:rsidP="00000000" w:rsidRDefault="00000000" w:rsidRPr="00000000" w14:paraId="0000003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€1.26M</w:t>
            </w:r>
          </w:p>
        </w:tc>
        <w:tc>
          <w:tcPr/>
          <w:p w:rsidR="00000000" w:rsidDel="00000000" w:rsidP="00000000" w:rsidRDefault="00000000" w:rsidRPr="00000000" w14:paraId="0000003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5.5%</w:t>
            </w:r>
          </w:p>
        </w:tc>
      </w:tr>
      <w:tr>
        <w:trPr>
          <w:cantSplit w:val="0"/>
          <w:tblHeader w:val="0"/>
        </w:trPr>
        <w:tc>
          <w:tcPr/>
          <w:p w:rsidR="00000000" w:rsidDel="00000000" w:rsidP="00000000" w:rsidRDefault="00000000" w:rsidRPr="00000000" w14:paraId="0000003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w:t>
            </w:r>
          </w:p>
        </w:tc>
        <w:tc>
          <w:tcPr/>
          <w:p w:rsidR="00000000" w:rsidDel="00000000" w:rsidP="00000000" w:rsidRDefault="00000000" w:rsidRPr="00000000" w14:paraId="0000003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18</w:t>
            </w:r>
          </w:p>
        </w:tc>
        <w:tc>
          <w:tcPr/>
          <w:p w:rsidR="00000000" w:rsidDel="00000000" w:rsidP="00000000" w:rsidRDefault="00000000" w:rsidRPr="00000000" w14:paraId="0000003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€3.78M</w:t>
            </w:r>
          </w:p>
        </w:tc>
        <w:tc>
          <w:tcPr/>
          <w:p w:rsidR="00000000" w:rsidDel="00000000" w:rsidP="00000000" w:rsidRDefault="00000000" w:rsidRPr="00000000" w14:paraId="0000003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6.4%</w:t>
            </w:r>
          </w:p>
        </w:tc>
      </w:tr>
      <w:tr>
        <w:trPr>
          <w:cantSplit w:val="0"/>
          <w:tblHeader w:val="0"/>
        </w:trPr>
        <w:tc>
          <w:tcPr/>
          <w:p w:rsidR="00000000" w:rsidDel="00000000" w:rsidP="00000000" w:rsidRDefault="00000000" w:rsidRPr="00000000" w14:paraId="0000003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w:t>
            </w:r>
          </w:p>
        </w:tc>
        <w:tc>
          <w:tcPr/>
          <w:p w:rsidR="00000000" w:rsidDel="00000000" w:rsidP="00000000" w:rsidRDefault="00000000" w:rsidRPr="00000000" w14:paraId="0000003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30</w:t>
            </w:r>
          </w:p>
        </w:tc>
        <w:tc>
          <w:tcPr/>
          <w:p w:rsidR="00000000" w:rsidDel="00000000" w:rsidP="00000000" w:rsidRDefault="00000000" w:rsidRPr="00000000" w14:paraId="0000003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€6.30M</w:t>
            </w:r>
          </w:p>
        </w:tc>
        <w:tc>
          <w:tcPr/>
          <w:p w:rsidR="00000000" w:rsidDel="00000000" w:rsidP="00000000" w:rsidRDefault="00000000" w:rsidRPr="00000000" w14:paraId="0000003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7.1%</w:t>
            </w:r>
          </w:p>
        </w:tc>
      </w:tr>
    </w:tbl>
    <w:p w:rsidR="00000000" w:rsidDel="00000000" w:rsidP="00000000" w:rsidRDefault="00000000" w:rsidRPr="00000000" w14:paraId="0000003A">
      <w:pPr>
        <w:rPr>
          <w:rFonts w:ascii="Garamond" w:cs="Garamond" w:eastAsia="Garamond" w:hAnsi="Garamond"/>
          <w:sz w:val="22"/>
          <w:szCs w:val="22"/>
        </w:rPr>
      </w:pPr>
      <w:r w:rsidDel="00000000" w:rsidR="00000000" w:rsidRPr="00000000">
        <w:rPr>
          <w:rtl w:val="0"/>
        </w:rPr>
      </w:r>
    </w:p>
    <w:tbl>
      <w:tblPr>
        <w:tblStyle w:val="Table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9"/>
        <w:gridCol w:w="1904"/>
        <w:gridCol w:w="2145"/>
        <w:gridCol w:w="2344"/>
        <w:tblGridChange w:id="0">
          <w:tblGrid>
            <w:gridCol w:w="2669"/>
            <w:gridCol w:w="1904"/>
            <w:gridCol w:w="2145"/>
            <w:gridCol w:w="2344"/>
          </w:tblGrid>
        </w:tblGridChange>
      </w:tblGrid>
      <w:tr>
        <w:trPr>
          <w:cantSplit w:val="0"/>
          <w:tblHeader w:val="0"/>
        </w:trPr>
        <w:tc>
          <w:tcPr/>
          <w:p w:rsidR="00000000" w:rsidDel="00000000" w:rsidP="00000000" w:rsidRDefault="00000000" w:rsidRPr="00000000" w14:paraId="0000003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Category of costs (representative example)</w:t>
            </w:r>
          </w:p>
        </w:tc>
        <w:tc>
          <w:tcPr/>
          <w:p w:rsidR="00000000" w:rsidDel="00000000" w:rsidP="00000000" w:rsidRDefault="00000000" w:rsidRPr="00000000" w14:paraId="0000003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[30] units in 2028 Monthly cost / per unit ratio</w:t>
            </w:r>
          </w:p>
        </w:tc>
        <w:tc>
          <w:tcPr/>
          <w:p w:rsidR="00000000" w:rsidDel="00000000" w:rsidP="00000000" w:rsidRDefault="00000000" w:rsidRPr="00000000" w14:paraId="0000003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 units 2026 Monthly cost/ per unit ratio</w:t>
            </w:r>
          </w:p>
        </w:tc>
        <w:tc>
          <w:tcPr/>
          <w:p w:rsidR="00000000" w:rsidDel="00000000" w:rsidP="00000000" w:rsidRDefault="00000000" w:rsidRPr="00000000" w14:paraId="0000003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 unit in 2025 Monthly cost </w:t>
            </w:r>
          </w:p>
        </w:tc>
      </w:tr>
      <w:tr>
        <w:trPr>
          <w:cantSplit w:val="0"/>
          <w:tblHeader w:val="0"/>
        </w:trPr>
        <w:tc>
          <w:tcPr/>
          <w:p w:rsidR="00000000" w:rsidDel="00000000" w:rsidP="00000000" w:rsidRDefault="00000000" w:rsidRPr="00000000" w14:paraId="0000003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Gross Rent (7% yield) – rent rising with time, best ratio 3-5 years of HODL</w:t>
            </w:r>
          </w:p>
        </w:tc>
        <w:tc>
          <w:tcPr/>
          <w:p w:rsidR="00000000" w:rsidDel="00000000" w:rsidP="00000000" w:rsidRDefault="00000000" w:rsidRPr="00000000" w14:paraId="0000004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€36,750 </w:t>
            </w:r>
          </w:p>
          <w:p w:rsidR="00000000" w:rsidDel="00000000" w:rsidP="00000000" w:rsidRDefault="00000000" w:rsidRPr="00000000" w14:paraId="0000004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[€1,225 x 30]</w:t>
            </w:r>
          </w:p>
        </w:tc>
        <w:tc>
          <w:tcPr/>
          <w:p w:rsidR="00000000" w:rsidDel="00000000" w:rsidP="00000000" w:rsidRDefault="00000000" w:rsidRPr="00000000" w14:paraId="0000004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€7,350</w:t>
            </w:r>
          </w:p>
          <w:p w:rsidR="00000000" w:rsidDel="00000000" w:rsidP="00000000" w:rsidRDefault="00000000" w:rsidRPr="00000000" w14:paraId="0000004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[€1,225 x 6]</w:t>
            </w:r>
          </w:p>
        </w:tc>
        <w:tc>
          <w:tcPr/>
          <w:p w:rsidR="00000000" w:rsidDel="00000000" w:rsidP="00000000" w:rsidRDefault="00000000" w:rsidRPr="00000000" w14:paraId="0000004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€1,225</w:t>
            </w:r>
          </w:p>
        </w:tc>
      </w:tr>
      <w:tr>
        <w:trPr>
          <w:cantSplit w:val="0"/>
          <w:tblHeader w:val="0"/>
        </w:trPr>
        <w:tc>
          <w:tcPr/>
          <w:p w:rsidR="00000000" w:rsidDel="00000000" w:rsidP="00000000" w:rsidRDefault="00000000" w:rsidRPr="00000000" w14:paraId="0000004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Mortgage Payment (bank finance 60%) – fixed costs</w:t>
            </w:r>
          </w:p>
        </w:tc>
        <w:tc>
          <w:tcPr/>
          <w:p w:rsidR="00000000" w:rsidDel="00000000" w:rsidP="00000000" w:rsidRDefault="00000000" w:rsidRPr="00000000" w14:paraId="0000004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€21,810 </w:t>
            </w:r>
          </w:p>
          <w:p w:rsidR="00000000" w:rsidDel="00000000" w:rsidP="00000000" w:rsidRDefault="00000000" w:rsidRPr="00000000" w14:paraId="0000004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[€727 x 30]</w:t>
            </w:r>
          </w:p>
        </w:tc>
        <w:tc>
          <w:tcPr/>
          <w:p w:rsidR="00000000" w:rsidDel="00000000" w:rsidP="00000000" w:rsidRDefault="00000000" w:rsidRPr="00000000" w14:paraId="0000004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€4,362</w:t>
            </w:r>
          </w:p>
          <w:p w:rsidR="00000000" w:rsidDel="00000000" w:rsidP="00000000" w:rsidRDefault="00000000" w:rsidRPr="00000000" w14:paraId="0000004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[€727 x 6]</w:t>
            </w:r>
          </w:p>
        </w:tc>
        <w:tc>
          <w:tcPr/>
          <w:p w:rsidR="00000000" w:rsidDel="00000000" w:rsidP="00000000" w:rsidRDefault="00000000" w:rsidRPr="00000000" w14:paraId="0000004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€727</w:t>
            </w:r>
          </w:p>
        </w:tc>
      </w:tr>
      <w:tr>
        <w:trPr>
          <w:cantSplit w:val="0"/>
          <w:tblHeader w:val="0"/>
        </w:trPr>
        <w:tc>
          <w:tcPr/>
          <w:p w:rsidR="00000000" w:rsidDel="00000000" w:rsidP="00000000" w:rsidRDefault="00000000" w:rsidRPr="00000000" w14:paraId="0000004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Maintenance (15% of rent)</w:t>
            </w:r>
          </w:p>
        </w:tc>
        <w:tc>
          <w:tcPr/>
          <w:p w:rsidR="00000000" w:rsidDel="00000000" w:rsidP="00000000" w:rsidRDefault="00000000" w:rsidRPr="00000000" w14:paraId="0000004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€2,520 </w:t>
            </w:r>
          </w:p>
          <w:p w:rsidR="00000000" w:rsidDel="00000000" w:rsidP="00000000" w:rsidRDefault="00000000" w:rsidRPr="00000000" w14:paraId="0000004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[€84 x 30]</w:t>
            </w:r>
          </w:p>
        </w:tc>
        <w:tc>
          <w:tcPr/>
          <w:p w:rsidR="00000000" w:rsidDel="00000000" w:rsidP="00000000" w:rsidRDefault="00000000" w:rsidRPr="00000000" w14:paraId="0000004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€720</w:t>
            </w:r>
          </w:p>
          <w:p w:rsidR="00000000" w:rsidDel="00000000" w:rsidP="00000000" w:rsidRDefault="00000000" w:rsidRPr="00000000" w14:paraId="0000004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[€120 x 6]</w:t>
            </w:r>
          </w:p>
        </w:tc>
        <w:tc>
          <w:tcPr/>
          <w:p w:rsidR="00000000" w:rsidDel="00000000" w:rsidP="00000000" w:rsidRDefault="00000000" w:rsidRPr="00000000" w14:paraId="0000005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€184</w:t>
            </w:r>
          </w:p>
        </w:tc>
      </w:tr>
      <w:tr>
        <w:trPr>
          <w:cantSplit w:val="0"/>
          <w:tblHeader w:val="0"/>
        </w:trPr>
        <w:tc>
          <w:tcPr/>
          <w:p w:rsidR="00000000" w:rsidDel="00000000" w:rsidP="00000000" w:rsidRDefault="00000000" w:rsidRPr="00000000" w14:paraId="0000005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Property Tax</w:t>
            </w:r>
          </w:p>
        </w:tc>
        <w:tc>
          <w:tcPr/>
          <w:p w:rsidR="00000000" w:rsidDel="00000000" w:rsidP="00000000" w:rsidRDefault="00000000" w:rsidRPr="00000000" w14:paraId="0000005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€75</w:t>
            </w:r>
          </w:p>
          <w:p w:rsidR="00000000" w:rsidDel="00000000" w:rsidP="00000000" w:rsidRDefault="00000000" w:rsidRPr="00000000" w14:paraId="0000005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[€2,5 x 30]</w:t>
            </w:r>
          </w:p>
        </w:tc>
        <w:tc>
          <w:tcPr/>
          <w:p w:rsidR="00000000" w:rsidDel="00000000" w:rsidP="00000000" w:rsidRDefault="00000000" w:rsidRPr="00000000" w14:paraId="0000005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€15</w:t>
            </w:r>
          </w:p>
          <w:p w:rsidR="00000000" w:rsidDel="00000000" w:rsidP="00000000" w:rsidRDefault="00000000" w:rsidRPr="00000000" w14:paraId="0000005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[€2,5 x 6]</w:t>
            </w:r>
          </w:p>
        </w:tc>
        <w:tc>
          <w:tcPr/>
          <w:p w:rsidR="00000000" w:rsidDel="00000000" w:rsidP="00000000" w:rsidRDefault="00000000" w:rsidRPr="00000000" w14:paraId="0000005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€2,85</w:t>
            </w:r>
          </w:p>
        </w:tc>
      </w:tr>
      <w:tr>
        <w:trPr>
          <w:cantSplit w:val="0"/>
          <w:tblHeader w:val="0"/>
        </w:trPr>
        <w:tc>
          <w:tcPr/>
          <w:p w:rsidR="00000000" w:rsidDel="00000000" w:rsidP="00000000" w:rsidRDefault="00000000" w:rsidRPr="00000000" w14:paraId="0000005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Outsourced services for unit maintenance</w:t>
            </w:r>
          </w:p>
        </w:tc>
        <w:tc>
          <w:tcPr/>
          <w:p w:rsidR="00000000" w:rsidDel="00000000" w:rsidP="00000000" w:rsidRDefault="00000000" w:rsidRPr="00000000" w14:paraId="0000005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€750 </w:t>
            </w:r>
          </w:p>
          <w:p w:rsidR="00000000" w:rsidDel="00000000" w:rsidP="00000000" w:rsidRDefault="00000000" w:rsidRPr="00000000" w14:paraId="0000005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[€25 x 30]</w:t>
            </w:r>
          </w:p>
        </w:tc>
        <w:tc>
          <w:tcPr/>
          <w:p w:rsidR="00000000" w:rsidDel="00000000" w:rsidP="00000000" w:rsidRDefault="00000000" w:rsidRPr="00000000" w14:paraId="0000005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€600</w:t>
            </w:r>
          </w:p>
          <w:p w:rsidR="00000000" w:rsidDel="00000000" w:rsidP="00000000" w:rsidRDefault="00000000" w:rsidRPr="00000000" w14:paraId="0000005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[€100 x 6]</w:t>
            </w:r>
          </w:p>
        </w:tc>
        <w:tc>
          <w:tcPr/>
          <w:p w:rsidR="00000000" w:rsidDel="00000000" w:rsidP="00000000" w:rsidRDefault="00000000" w:rsidRPr="00000000" w14:paraId="0000005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€100</w:t>
            </w:r>
          </w:p>
        </w:tc>
      </w:tr>
      <w:tr>
        <w:trPr>
          <w:cantSplit w:val="0"/>
          <w:tblHeader w:val="0"/>
        </w:trPr>
        <w:tc>
          <w:tcPr/>
          <w:p w:rsidR="00000000" w:rsidDel="00000000" w:rsidP="00000000" w:rsidRDefault="00000000" w:rsidRPr="00000000" w14:paraId="0000005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AI System Costs</w:t>
            </w:r>
          </w:p>
        </w:tc>
        <w:tc>
          <w:tcPr/>
          <w:p w:rsidR="00000000" w:rsidDel="00000000" w:rsidP="00000000" w:rsidRDefault="00000000" w:rsidRPr="00000000" w14:paraId="0000005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€750 </w:t>
            </w:r>
          </w:p>
          <w:p w:rsidR="00000000" w:rsidDel="00000000" w:rsidP="00000000" w:rsidRDefault="00000000" w:rsidRPr="00000000" w14:paraId="0000005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[€25 x 30]</w:t>
            </w:r>
          </w:p>
        </w:tc>
        <w:tc>
          <w:tcPr/>
          <w:p w:rsidR="00000000" w:rsidDel="00000000" w:rsidP="00000000" w:rsidRDefault="00000000" w:rsidRPr="00000000" w14:paraId="0000006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€300</w:t>
            </w:r>
          </w:p>
          <w:p w:rsidR="00000000" w:rsidDel="00000000" w:rsidP="00000000" w:rsidRDefault="00000000" w:rsidRPr="00000000" w14:paraId="0000006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[€50 x 6]</w:t>
            </w:r>
          </w:p>
        </w:tc>
        <w:tc>
          <w:tcPr/>
          <w:p w:rsidR="00000000" w:rsidDel="00000000" w:rsidP="00000000" w:rsidRDefault="00000000" w:rsidRPr="00000000" w14:paraId="0000006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€55</w:t>
            </w:r>
          </w:p>
        </w:tc>
      </w:tr>
      <w:tr>
        <w:trPr>
          <w:cantSplit w:val="0"/>
          <w:tblHeader w:val="0"/>
        </w:trPr>
        <w:tc>
          <w:tcPr/>
          <w:p w:rsidR="00000000" w:rsidDel="00000000" w:rsidP="00000000" w:rsidRDefault="00000000" w:rsidRPr="00000000" w14:paraId="0000006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Administrative Overhead</w:t>
            </w:r>
          </w:p>
        </w:tc>
        <w:tc>
          <w:tcPr/>
          <w:p w:rsidR="00000000" w:rsidDel="00000000" w:rsidP="00000000" w:rsidRDefault="00000000" w:rsidRPr="00000000" w14:paraId="0000006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€1,050 </w:t>
            </w:r>
          </w:p>
          <w:p w:rsidR="00000000" w:rsidDel="00000000" w:rsidP="00000000" w:rsidRDefault="00000000" w:rsidRPr="00000000" w14:paraId="0000006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[€35 x 30]</w:t>
            </w:r>
          </w:p>
        </w:tc>
        <w:tc>
          <w:tcPr/>
          <w:p w:rsidR="00000000" w:rsidDel="00000000" w:rsidP="00000000" w:rsidRDefault="00000000" w:rsidRPr="00000000" w14:paraId="0000006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€420</w:t>
            </w:r>
          </w:p>
          <w:p w:rsidR="00000000" w:rsidDel="00000000" w:rsidP="00000000" w:rsidRDefault="00000000" w:rsidRPr="00000000" w14:paraId="0000006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[€70 x 6]</w:t>
            </w:r>
          </w:p>
        </w:tc>
        <w:tc>
          <w:tcPr/>
          <w:p w:rsidR="00000000" w:rsidDel="00000000" w:rsidP="00000000" w:rsidRDefault="00000000" w:rsidRPr="00000000" w14:paraId="0000006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€125</w:t>
            </w:r>
          </w:p>
        </w:tc>
      </w:tr>
      <w:tr>
        <w:trPr>
          <w:cantSplit w:val="0"/>
          <w:tblHeader w:val="0"/>
        </w:trPr>
        <w:tc>
          <w:tcPr/>
          <w:p w:rsidR="00000000" w:rsidDel="00000000" w:rsidP="00000000" w:rsidRDefault="00000000" w:rsidRPr="00000000" w14:paraId="0000006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Pre-Tax Cash Flow</w:t>
            </w:r>
          </w:p>
        </w:tc>
        <w:tc>
          <w:tcPr/>
          <w:p w:rsidR="00000000" w:rsidDel="00000000" w:rsidP="00000000" w:rsidRDefault="00000000" w:rsidRPr="00000000" w14:paraId="0000006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€9,120</w:t>
            </w:r>
          </w:p>
        </w:tc>
        <w:tc>
          <w:tcPr/>
          <w:p w:rsidR="00000000" w:rsidDel="00000000" w:rsidP="00000000" w:rsidRDefault="00000000" w:rsidRPr="00000000" w14:paraId="0000006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€798</w:t>
            </w:r>
          </w:p>
        </w:tc>
        <w:tc>
          <w:tcPr/>
          <w:p w:rsidR="00000000" w:rsidDel="00000000" w:rsidP="00000000" w:rsidRDefault="00000000" w:rsidRPr="00000000" w14:paraId="0000006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€35</w:t>
            </w:r>
          </w:p>
        </w:tc>
      </w:tr>
      <w:tr>
        <w:trPr>
          <w:cantSplit w:val="0"/>
          <w:tblHeader w:val="0"/>
        </w:trPr>
        <w:tc>
          <w:tcPr/>
          <w:p w:rsidR="00000000" w:rsidDel="00000000" w:rsidP="00000000" w:rsidRDefault="00000000" w:rsidRPr="00000000" w14:paraId="0000006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Corporate Tax (21%)</w:t>
            </w:r>
          </w:p>
        </w:tc>
        <w:tc>
          <w:tcPr/>
          <w:p w:rsidR="00000000" w:rsidDel="00000000" w:rsidP="00000000" w:rsidRDefault="00000000" w:rsidRPr="00000000" w14:paraId="0000006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-21%</w:t>
            </w:r>
          </w:p>
        </w:tc>
        <w:tc>
          <w:tcPr/>
          <w:p w:rsidR="00000000" w:rsidDel="00000000" w:rsidP="00000000" w:rsidRDefault="00000000" w:rsidRPr="00000000" w14:paraId="0000006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-21%</w:t>
            </w:r>
          </w:p>
        </w:tc>
        <w:tc>
          <w:tcPr/>
          <w:p w:rsidR="00000000" w:rsidDel="00000000" w:rsidP="00000000" w:rsidRDefault="00000000" w:rsidRPr="00000000" w14:paraId="0000007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-21%</w:t>
            </w:r>
          </w:p>
        </w:tc>
      </w:tr>
      <w:tr>
        <w:trPr>
          <w:cantSplit w:val="0"/>
          <w:tblHeader w:val="0"/>
        </w:trPr>
        <w:tc>
          <w:tcPr/>
          <w:p w:rsidR="00000000" w:rsidDel="00000000" w:rsidP="00000000" w:rsidRDefault="00000000" w:rsidRPr="00000000" w14:paraId="0000007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Net Cash Flow</w:t>
            </w:r>
          </w:p>
        </w:tc>
        <w:tc>
          <w:tcPr/>
          <w:p w:rsidR="00000000" w:rsidDel="00000000" w:rsidP="00000000" w:rsidRDefault="00000000" w:rsidRPr="00000000" w14:paraId="0000007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€7,880</w:t>
            </w:r>
          </w:p>
        </w:tc>
        <w:tc>
          <w:tcPr/>
          <w:p w:rsidR="00000000" w:rsidDel="00000000" w:rsidP="00000000" w:rsidRDefault="00000000" w:rsidRPr="00000000" w14:paraId="0000007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€765</w:t>
            </w:r>
          </w:p>
        </w:tc>
        <w:tc>
          <w:tcPr/>
          <w:p w:rsidR="00000000" w:rsidDel="00000000" w:rsidP="00000000" w:rsidRDefault="00000000" w:rsidRPr="00000000" w14:paraId="0000007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€28</w:t>
            </w:r>
          </w:p>
        </w:tc>
      </w:tr>
      <w:tr>
        <w:trPr>
          <w:cantSplit w:val="0"/>
          <w:tblHeader w:val="0"/>
        </w:trPr>
        <w:tc>
          <w:tcPr/>
          <w:p w:rsidR="00000000" w:rsidDel="00000000" w:rsidP="00000000" w:rsidRDefault="00000000" w:rsidRPr="00000000" w14:paraId="00000075">
            <w:pP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DIVIDENDS for investors paid monthly</w:t>
            </w:r>
            <w:r w:rsidDel="00000000" w:rsidR="00000000" w:rsidRPr="00000000">
              <w:rPr>
                <w:rFonts w:ascii="Garamond" w:cs="Garamond" w:eastAsia="Garamond" w:hAnsi="Garamond"/>
                <w:sz w:val="22"/>
                <w:szCs w:val="22"/>
                <w:rtl w:val="0"/>
              </w:rPr>
              <w:t xml:space="preserve">. In this case investors together with us finance 40% = 720 tokens/unit, bank 60%. </w:t>
            </w:r>
            <w:r w:rsidDel="00000000" w:rsidR="00000000" w:rsidRPr="00000000">
              <w:rPr>
                <w:rFonts w:ascii="Garamond" w:cs="Garamond" w:eastAsia="Garamond" w:hAnsi="Garamond"/>
                <w:b w:val="1"/>
                <w:sz w:val="22"/>
                <w:szCs w:val="22"/>
                <w:rtl w:val="0"/>
              </w:rPr>
              <w:t xml:space="preserve">More you invest, the more you gain.</w:t>
              <w:br w:type="textWrapping"/>
              <w:t xml:space="preserve">DIVIDENDS IDEAL (optimistic) scenario + 100€ value of token and rising</w:t>
            </w:r>
            <w:r w:rsidDel="00000000" w:rsidR="00000000" w:rsidRPr="00000000">
              <w:rPr>
                <w:rtl w:val="0"/>
              </w:rPr>
            </w:r>
          </w:p>
        </w:tc>
        <w:tc>
          <w:tcPr/>
          <w:p w:rsidR="00000000" w:rsidDel="00000000" w:rsidP="00000000" w:rsidRDefault="00000000" w:rsidRPr="00000000" w14:paraId="00000076">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 1 token</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sz w:val="22"/>
                <w:szCs w:val="22"/>
                <w:rtl w:val="0"/>
              </w:rPr>
              <w:t xml:space="preserve">(100€) = €1,37 monthly</w:t>
            </w:r>
          </w:p>
          <w:p w:rsidR="00000000" w:rsidDel="00000000" w:rsidP="00000000" w:rsidRDefault="00000000" w:rsidRPr="00000000" w14:paraId="00000077">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You shall repetitively invest to have 10,000 tokens = €13700 monthly</w:t>
            </w:r>
          </w:p>
          <w:p w:rsidR="00000000" w:rsidDel="00000000" w:rsidP="00000000" w:rsidRDefault="00000000" w:rsidRPr="00000000" w14:paraId="00000078">
            <w:pPr>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[tokens in transaction 720 x 30]</w:t>
            </w:r>
            <w:r w:rsidDel="00000000" w:rsidR="00000000" w:rsidRPr="00000000">
              <w:rPr>
                <w:rtl w:val="0"/>
              </w:rPr>
            </w:r>
          </w:p>
        </w:tc>
        <w:tc>
          <w:tcPr/>
          <w:p w:rsidR="00000000" w:rsidDel="00000000" w:rsidP="00000000" w:rsidRDefault="00000000" w:rsidRPr="00000000" w14:paraId="00000079">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 1 token</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sz w:val="22"/>
                <w:szCs w:val="22"/>
                <w:rtl w:val="0"/>
              </w:rPr>
              <w:t xml:space="preserve">(100€) = €0,77 monthly</w:t>
            </w:r>
          </w:p>
          <w:p w:rsidR="00000000" w:rsidDel="00000000" w:rsidP="00000000" w:rsidRDefault="00000000" w:rsidRPr="00000000" w14:paraId="0000007A">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You shall repetitively invest to have 10,000 tokens = €7700 monthly</w:t>
            </w:r>
          </w:p>
          <w:p w:rsidR="00000000" w:rsidDel="00000000" w:rsidP="00000000" w:rsidRDefault="00000000" w:rsidRPr="00000000" w14:paraId="0000007B">
            <w:pPr>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[tokens in transaction 720 x 6]</w:t>
            </w:r>
            <w:r w:rsidDel="00000000" w:rsidR="00000000" w:rsidRPr="00000000">
              <w:rPr>
                <w:rtl w:val="0"/>
              </w:rPr>
            </w:r>
          </w:p>
        </w:tc>
        <w:tc>
          <w:tcPr/>
          <w:p w:rsidR="00000000" w:rsidDel="00000000" w:rsidP="00000000" w:rsidRDefault="00000000" w:rsidRPr="00000000" w14:paraId="0000007C">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per 1 token</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sz w:val="22"/>
                <w:szCs w:val="22"/>
                <w:rtl w:val="0"/>
              </w:rPr>
              <w:t xml:space="preserve">(100€) = €0,39 monthly</w:t>
            </w:r>
          </w:p>
          <w:p w:rsidR="00000000" w:rsidDel="00000000" w:rsidP="00000000" w:rsidRDefault="00000000" w:rsidRPr="00000000" w14:paraId="0000007D">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You shall repetitively invest to have 10,000 tokens = €3900 monthly</w:t>
            </w:r>
          </w:p>
          <w:p w:rsidR="00000000" w:rsidDel="00000000" w:rsidP="00000000" w:rsidRDefault="00000000" w:rsidRPr="00000000" w14:paraId="0000007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[tokens in transaction 720 x 1]</w:t>
            </w:r>
          </w:p>
        </w:tc>
      </w:tr>
      <w:tr>
        <w:trPr>
          <w:cantSplit w:val="0"/>
          <w:tblHeader w:val="0"/>
        </w:trPr>
        <w:tc>
          <w:tcPr/>
          <w:p w:rsidR="00000000" w:rsidDel="00000000" w:rsidP="00000000" w:rsidRDefault="00000000" w:rsidRPr="00000000" w14:paraId="0000007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DIVIDENDS Pessimistic scenario + 100€ value of token and rising</w:t>
            </w:r>
          </w:p>
        </w:tc>
        <w:tc>
          <w:tcPr/>
          <w:p w:rsidR="00000000" w:rsidDel="00000000" w:rsidP="00000000" w:rsidRDefault="00000000" w:rsidRPr="00000000" w14:paraId="00000080">
            <w:pPr>
              <w:spacing w:after="160" w:line="301.09090909090907"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per 1 token (100€) = €0,37 monthly.</w:t>
            </w:r>
          </w:p>
        </w:tc>
        <w:tc>
          <w:tcPr/>
          <w:p w:rsidR="00000000" w:rsidDel="00000000" w:rsidP="00000000" w:rsidRDefault="00000000" w:rsidRPr="00000000" w14:paraId="0000008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per 1 token (100€) = €0,177 monthly</w:t>
            </w:r>
          </w:p>
        </w:tc>
        <w:tc>
          <w:tcPr/>
          <w:p w:rsidR="00000000" w:rsidDel="00000000" w:rsidP="00000000" w:rsidRDefault="00000000" w:rsidRPr="00000000" w14:paraId="00000082">
            <w:pPr>
              <w:spacing w:after="160" w:line="301.09090909090907"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per 1 token (100€) = €0,039 monthly</w:t>
            </w:r>
          </w:p>
        </w:tc>
      </w:tr>
      <w:tr>
        <w:trPr>
          <w:cantSplit w:val="0"/>
          <w:tblHeader w:val="0"/>
        </w:trPr>
        <w:tc>
          <w:tcPr/>
          <w:p w:rsidR="00000000" w:rsidDel="00000000" w:rsidP="00000000" w:rsidRDefault="00000000" w:rsidRPr="00000000" w14:paraId="00000083">
            <w:pP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Token rise prediction </w:t>
            </w:r>
            <w:r w:rsidDel="00000000" w:rsidR="00000000" w:rsidRPr="00000000">
              <w:rPr>
                <w:rFonts w:ascii="Garamond" w:cs="Garamond" w:eastAsia="Garamond" w:hAnsi="Garamond"/>
                <w:sz w:val="22"/>
                <w:szCs w:val="22"/>
                <w:rtl w:val="0"/>
              </w:rPr>
              <w:t xml:space="preserve">(in dividend scheme optics) </w:t>
            </w:r>
          </w:p>
        </w:tc>
        <w:tc>
          <w:tcPr/>
          <w:p w:rsidR="00000000" w:rsidDel="00000000" w:rsidP="00000000" w:rsidRDefault="00000000" w:rsidRPr="00000000" w14:paraId="00000084">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949% in 3 years</w:t>
            </w:r>
          </w:p>
        </w:tc>
        <w:tc>
          <w:tcPr/>
          <w:p w:rsidR="00000000" w:rsidDel="00000000" w:rsidP="00000000" w:rsidRDefault="00000000" w:rsidRPr="00000000" w14:paraId="00000085">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453% in 1 year </w:t>
            </w:r>
          </w:p>
        </w:tc>
        <w:tc>
          <w:tcPr/>
          <w:p w:rsidR="00000000" w:rsidDel="00000000" w:rsidP="00000000" w:rsidRDefault="00000000" w:rsidRPr="00000000" w14:paraId="00000086">
            <w:pPr>
              <w:rPr>
                <w:rFonts w:ascii="Garamond" w:cs="Garamond" w:eastAsia="Garamond" w:hAnsi="Garamond"/>
                <w:b w:val="1"/>
                <w:sz w:val="22"/>
                <w:szCs w:val="22"/>
              </w:rPr>
            </w:pPr>
            <w:r w:rsidDel="00000000" w:rsidR="00000000" w:rsidRPr="00000000">
              <w:rPr>
                <w:rtl w:val="0"/>
              </w:rPr>
            </w:r>
          </w:p>
        </w:tc>
      </w:tr>
    </w:tbl>
    <w:p w:rsidR="00000000" w:rsidDel="00000000" w:rsidP="00000000" w:rsidRDefault="00000000" w:rsidRPr="00000000" w14:paraId="00000087">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8">
      <w:pPr>
        <w:pStyle w:val="Heading4"/>
        <w:rPr/>
      </w:pPr>
      <w:r w:rsidDel="00000000" w:rsidR="00000000" w:rsidRPr="00000000">
        <w:rPr>
          <w:rtl w:val="0"/>
        </w:rPr>
        <w:t xml:space="preserve"> Serbian Market Adjustments  </w:t>
      </w:r>
    </w:p>
    <w:p w:rsidR="00000000" w:rsidDel="00000000" w:rsidP="00000000" w:rsidRDefault="00000000" w:rsidRPr="00000000" w14:paraId="0000008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- 2.5% Property Acquisition Tax: Adds €4,250 upfront cost per €170,000 property  </w:t>
      </w:r>
    </w:p>
    <w:p w:rsidR="00000000" w:rsidDel="00000000" w:rsidP="00000000" w:rsidRDefault="00000000" w:rsidRPr="00000000" w14:paraId="0000008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- 0.4% Annual Property Tax: €840/year vs. €300 in Czech Republic  </w:t>
      </w:r>
    </w:p>
    <w:p w:rsidR="00000000" w:rsidDel="00000000" w:rsidP="00000000" w:rsidRDefault="00000000" w:rsidRPr="00000000" w14:paraId="0000008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- 15% Corporate Tax: Improves net cash flow to €32/month vs. €28 in CZ  </w:t>
      </w:r>
    </w:p>
    <w:p w:rsidR="00000000" w:rsidDel="00000000" w:rsidP="00000000" w:rsidRDefault="00000000" w:rsidRPr="00000000" w14:paraId="0000008C">
      <w:pP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Recommendation at the beginning</w:t>
      </w:r>
      <w:r w:rsidDel="00000000" w:rsidR="00000000" w:rsidRPr="00000000">
        <w:rPr>
          <w:rFonts w:ascii="Garamond" w:cs="Garamond" w:eastAsia="Garamond" w:hAnsi="Garamond"/>
          <w:sz w:val="22"/>
          <w:szCs w:val="22"/>
          <w:rtl w:val="0"/>
        </w:rPr>
        <w:t xml:space="preserve">: Initial focus on Czech Republic avoids 2.5% real estate acquisition tax, but buy as much real estate as possible also in Serbia because high rent and price rises and run offsetting higher corporate tax rates through operational scale.  </w:t>
      </w:r>
    </w:p>
    <w:p w:rsidR="00000000" w:rsidDel="00000000" w:rsidP="00000000" w:rsidRDefault="00000000" w:rsidRPr="00000000" w14:paraId="0000008D">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E">
      <w:pPr>
        <w:pStyle w:val="Heading2"/>
        <w:rPr/>
      </w:pPr>
      <w:r w:rsidDel="00000000" w:rsidR="00000000" w:rsidRPr="00000000">
        <w:rPr>
          <w:rtl w:val="0"/>
        </w:rPr>
        <w:t xml:space="preserve"> Staffing Model &amp; Outsourcing  </w:t>
      </w:r>
    </w:p>
    <w:p w:rsidR="00000000" w:rsidDel="00000000" w:rsidP="00000000" w:rsidRDefault="00000000" w:rsidRPr="00000000" w14:paraId="0000008F">
      <w:pPr>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sz w:val="22"/>
          <w:szCs w:val="22"/>
          <w:rtl w:val="0"/>
        </w:rPr>
        <w:t xml:space="preserve">Personnel Structure  </w:t>
      </w:r>
    </w:p>
    <w:tbl>
      <w:tblPr>
        <w:tblStyle w:val="Table4"/>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0"/>
        <w:gridCol w:w="3021"/>
        <w:gridCol w:w="3021"/>
        <w:tblGridChange w:id="0">
          <w:tblGrid>
            <w:gridCol w:w="3020"/>
            <w:gridCol w:w="3021"/>
            <w:gridCol w:w="3021"/>
          </w:tblGrid>
        </w:tblGridChange>
      </w:tblGrid>
      <w:tr>
        <w:trPr>
          <w:cantSplit w:val="0"/>
          <w:tblHeader w:val="0"/>
        </w:trPr>
        <w:tc>
          <w:tcPr/>
          <w:p w:rsidR="00000000" w:rsidDel="00000000" w:rsidP="00000000" w:rsidRDefault="00000000" w:rsidRPr="00000000" w14:paraId="0000009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Role</w:t>
            </w:r>
          </w:p>
        </w:tc>
        <w:tc>
          <w:tcPr/>
          <w:p w:rsidR="00000000" w:rsidDel="00000000" w:rsidP="00000000" w:rsidRDefault="00000000" w:rsidRPr="00000000" w14:paraId="0000009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Cost (Monthly)</w:t>
            </w:r>
          </w:p>
        </w:tc>
        <w:tc>
          <w:tcPr/>
          <w:p w:rsidR="00000000" w:rsidDel="00000000" w:rsidP="00000000" w:rsidRDefault="00000000" w:rsidRPr="00000000" w14:paraId="0000009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Type</w:t>
            </w:r>
          </w:p>
        </w:tc>
      </w:tr>
      <w:tr>
        <w:trPr>
          <w:cantSplit w:val="0"/>
          <w:tblHeader w:val="0"/>
        </w:trPr>
        <w:tc>
          <w:tcPr/>
          <w:p w:rsidR="00000000" w:rsidDel="00000000" w:rsidP="00000000" w:rsidRDefault="00000000" w:rsidRPr="00000000" w14:paraId="0000009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Administrative Worker</w:t>
            </w:r>
          </w:p>
        </w:tc>
        <w:tc>
          <w:tcPr/>
          <w:p w:rsidR="00000000" w:rsidDel="00000000" w:rsidP="00000000" w:rsidRDefault="00000000" w:rsidRPr="00000000" w14:paraId="0000009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€1,500</w:t>
            </w:r>
          </w:p>
        </w:tc>
        <w:tc>
          <w:tcPr/>
          <w:p w:rsidR="00000000" w:rsidDel="00000000" w:rsidP="00000000" w:rsidRDefault="00000000" w:rsidRPr="00000000" w14:paraId="0000009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Internal</w:t>
            </w:r>
          </w:p>
        </w:tc>
      </w:tr>
      <w:tr>
        <w:trPr>
          <w:cantSplit w:val="0"/>
          <w:tblHeader w:val="0"/>
        </w:trPr>
        <w:tc>
          <w:tcPr/>
          <w:p w:rsidR="00000000" w:rsidDel="00000000" w:rsidP="00000000" w:rsidRDefault="00000000" w:rsidRPr="00000000" w14:paraId="0000009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CEO Advisory Services</w:t>
            </w:r>
          </w:p>
        </w:tc>
        <w:tc>
          <w:tcPr/>
          <w:p w:rsidR="00000000" w:rsidDel="00000000" w:rsidP="00000000" w:rsidRDefault="00000000" w:rsidRPr="00000000" w14:paraId="0000009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€3,000</w:t>
            </w:r>
          </w:p>
        </w:tc>
        <w:tc>
          <w:tcPr/>
          <w:p w:rsidR="00000000" w:rsidDel="00000000" w:rsidP="00000000" w:rsidRDefault="00000000" w:rsidRPr="00000000" w14:paraId="0000009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Contract</w:t>
            </w:r>
          </w:p>
        </w:tc>
      </w:tr>
      <w:tr>
        <w:trPr>
          <w:cantSplit w:val="0"/>
          <w:tblHeader w:val="0"/>
        </w:trPr>
        <w:tc>
          <w:tcPr/>
          <w:p w:rsidR="00000000" w:rsidDel="00000000" w:rsidP="00000000" w:rsidRDefault="00000000" w:rsidRPr="00000000" w14:paraId="0000009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Blockchain Developer</w:t>
            </w:r>
          </w:p>
        </w:tc>
        <w:tc>
          <w:tcPr/>
          <w:p w:rsidR="00000000" w:rsidDel="00000000" w:rsidP="00000000" w:rsidRDefault="00000000" w:rsidRPr="00000000" w14:paraId="0000009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€4,000</w:t>
            </w:r>
          </w:p>
        </w:tc>
        <w:tc>
          <w:tcPr/>
          <w:p w:rsidR="00000000" w:rsidDel="00000000" w:rsidP="00000000" w:rsidRDefault="00000000" w:rsidRPr="00000000" w14:paraId="0000009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Contract</w:t>
            </w:r>
          </w:p>
        </w:tc>
      </w:tr>
      <w:tr>
        <w:trPr>
          <w:cantSplit w:val="0"/>
          <w:tblHeader w:val="0"/>
        </w:trPr>
        <w:tc>
          <w:tcPr/>
          <w:p w:rsidR="00000000" w:rsidDel="00000000" w:rsidP="00000000" w:rsidRDefault="00000000" w:rsidRPr="00000000" w14:paraId="0000009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Financial Controller and accountancy</w:t>
            </w:r>
          </w:p>
        </w:tc>
        <w:tc>
          <w:tcPr/>
          <w:p w:rsidR="00000000" w:rsidDel="00000000" w:rsidP="00000000" w:rsidRDefault="00000000" w:rsidRPr="00000000" w14:paraId="0000009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€2,000</w:t>
            </w:r>
          </w:p>
        </w:tc>
        <w:tc>
          <w:tcPr/>
          <w:p w:rsidR="00000000" w:rsidDel="00000000" w:rsidP="00000000" w:rsidRDefault="00000000" w:rsidRPr="00000000" w14:paraId="0000009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Contract</w:t>
            </w:r>
          </w:p>
        </w:tc>
      </w:tr>
      <w:tr>
        <w:trPr>
          <w:cantSplit w:val="0"/>
          <w:tblHeader w:val="0"/>
        </w:trPr>
        <w:tc>
          <w:tcPr/>
          <w:p w:rsidR="00000000" w:rsidDel="00000000" w:rsidP="00000000" w:rsidRDefault="00000000" w:rsidRPr="00000000" w14:paraId="0000009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Real Estate Analysts and legal</w:t>
            </w:r>
          </w:p>
        </w:tc>
        <w:tc>
          <w:tcPr/>
          <w:p w:rsidR="00000000" w:rsidDel="00000000" w:rsidP="00000000" w:rsidRDefault="00000000" w:rsidRPr="00000000" w14:paraId="000000A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€3,000</w:t>
            </w:r>
          </w:p>
        </w:tc>
        <w:tc>
          <w:tcPr/>
          <w:p w:rsidR="00000000" w:rsidDel="00000000" w:rsidP="00000000" w:rsidRDefault="00000000" w:rsidRPr="00000000" w14:paraId="000000A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Contract</w:t>
            </w:r>
          </w:p>
        </w:tc>
      </w:tr>
      <w:tr>
        <w:trPr>
          <w:cantSplit w:val="0"/>
          <w:tblHeader w:val="0"/>
        </w:trPr>
        <w:tc>
          <w:tcPr/>
          <w:p w:rsidR="00000000" w:rsidDel="00000000" w:rsidP="00000000" w:rsidRDefault="00000000" w:rsidRPr="00000000" w14:paraId="000000A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AI Maintenance</w:t>
            </w:r>
          </w:p>
        </w:tc>
        <w:tc>
          <w:tcPr/>
          <w:p w:rsidR="00000000" w:rsidDel="00000000" w:rsidP="00000000" w:rsidRDefault="00000000" w:rsidRPr="00000000" w14:paraId="000000A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€3,000</w:t>
            </w:r>
          </w:p>
        </w:tc>
        <w:tc>
          <w:tcPr/>
          <w:p w:rsidR="00000000" w:rsidDel="00000000" w:rsidP="00000000" w:rsidRDefault="00000000" w:rsidRPr="00000000" w14:paraId="000000A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Contract</w:t>
            </w:r>
          </w:p>
        </w:tc>
      </w:tr>
      <w:tr>
        <w:trPr>
          <w:cantSplit w:val="0"/>
          <w:tblHeader w:val="0"/>
        </w:trPr>
        <w:tc>
          <w:tcPr/>
          <w:p w:rsidR="00000000" w:rsidDel="00000000" w:rsidP="00000000" w:rsidRDefault="00000000" w:rsidRPr="00000000" w14:paraId="000000A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Total</w:t>
            </w:r>
          </w:p>
        </w:tc>
        <w:tc>
          <w:tcPr/>
          <w:p w:rsidR="00000000" w:rsidDel="00000000" w:rsidP="00000000" w:rsidRDefault="00000000" w:rsidRPr="00000000" w14:paraId="000000A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€16,500</w:t>
            </w:r>
          </w:p>
        </w:tc>
        <w:tc>
          <w:tcPr/>
          <w:p w:rsidR="00000000" w:rsidDel="00000000" w:rsidP="00000000" w:rsidRDefault="00000000" w:rsidRPr="00000000" w14:paraId="000000A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Contract mainly</w:t>
            </w:r>
          </w:p>
        </w:tc>
      </w:tr>
    </w:tbl>
    <w:p w:rsidR="00000000" w:rsidDel="00000000" w:rsidP="00000000" w:rsidRDefault="00000000" w:rsidRPr="00000000" w14:paraId="000000A8">
      <w:pPr>
        <w:rPr>
          <w:rFonts w:ascii="Garamond" w:cs="Garamond" w:eastAsia="Garamond" w:hAnsi="Garamond"/>
          <w:sz w:val="22"/>
          <w:szCs w:val="22"/>
        </w:rPr>
      </w:pPr>
      <w:sdt>
        <w:sdtPr>
          <w:tag w:val="goog_rdk_0"/>
        </w:sdtPr>
        <w:sdtContent>
          <w:r w:rsidDel="00000000" w:rsidR="00000000" w:rsidRPr="00000000">
            <w:rPr>
              <w:rFonts w:ascii="Cardo" w:cs="Cardo" w:eastAsia="Cardo" w:hAnsi="Cardo"/>
              <w:sz w:val="22"/>
              <w:szCs w:val="22"/>
              <w:rtl w:val="0"/>
            </w:rPr>
            <w:t xml:space="preserve">Our model runs cost reduction: 31% lower vs. in-house team (€20,000 → €16,500)  </w:t>
          </w:r>
        </w:sdtContent>
      </w:sdt>
    </w:p>
    <w:p w:rsidR="00000000" w:rsidDel="00000000" w:rsidP="00000000" w:rsidRDefault="00000000" w:rsidRPr="00000000" w14:paraId="000000A9">
      <w:pPr>
        <w:pStyle w:val="Heading2"/>
        <w:rPr/>
      </w:pPr>
      <w:bookmarkStart w:colFirst="0" w:colLast="0" w:name="_heading=h.viydd0ltfbwx" w:id="0"/>
      <w:bookmarkEnd w:id="0"/>
      <w:r w:rsidDel="00000000" w:rsidR="00000000" w:rsidRPr="00000000">
        <w:rPr>
          <w:rtl w:val="0"/>
        </w:rPr>
        <w:t xml:space="preserve">Further cost covered by 2/20 fee and service fees </w:t>
      </w:r>
    </w:p>
    <w:sdt>
      <w:sdtPr>
        <w:lock w:val="contentLocked"/>
        <w:tag w:val="goog_rdk_1"/>
      </w:sdtPr>
      <w:sdtContent>
        <w:tbl>
          <w:tblPr>
            <w:tblStyle w:val="Table5"/>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blHeader w:val="0"/>
            </w:trPr>
            <w:tc>
              <w:tcPr/>
              <w:p w:rsidR="00000000" w:rsidDel="00000000" w:rsidP="00000000" w:rsidRDefault="00000000" w:rsidRPr="00000000" w14:paraId="000000AA">
                <w:pPr>
                  <w:spacing w:after="0"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Role</w:t>
                </w:r>
              </w:p>
            </w:tc>
            <w:tc>
              <w:tcPr/>
              <w:p w:rsidR="00000000" w:rsidDel="00000000" w:rsidP="00000000" w:rsidRDefault="00000000" w:rsidRPr="00000000" w14:paraId="000000AB">
                <w:pPr>
                  <w:spacing w:after="0"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Cost (Monthly/Yearly/One time)</w:t>
                </w:r>
              </w:p>
            </w:tc>
            <w:tc>
              <w:tcPr/>
              <w:p w:rsidR="00000000" w:rsidDel="00000000" w:rsidP="00000000" w:rsidRDefault="00000000" w:rsidRPr="00000000" w14:paraId="000000AC">
                <w:pPr>
                  <w:spacing w:after="0"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Type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after="0"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Legal and accountancy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Monthly paid, higher when acquisitions, MiCA licensing, expansion or legal obstacles occur. Contract based to reduce costs.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Taxes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2,000€ and rising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Mandatory. Rising with higher turnover. Experts cooperation to reduce costs.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IT infrastructure AI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8,000 € + 2,000 € monthly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Mandatory. This replaces 85% of the employees needed. Contract based to reduce costs.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Token printing and infrastructure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20,000 € + 2,000 € monthly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Mandatory. Contract based to reduce costs.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Reserve created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2,000 € needed monthly for 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Mandatory. Needed for expansion.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Starting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36,000 €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240" w:lineRule="auto"/>
                  <w:rPr>
                    <w:rFonts w:ascii="Garamond" w:cs="Garamond" w:eastAsia="Garamond" w:hAnsi="Garamond"/>
                    <w:sz w:val="22"/>
                    <w:szCs w:val="22"/>
                  </w:rPr>
                </w:pPr>
                <w:r w:rsidDel="00000000" w:rsidR="00000000" w:rsidRPr="00000000">
                  <w:rPr>
                    <w:rtl w:val="0"/>
                  </w:rPr>
                </w:r>
              </w:p>
            </w:tc>
          </w:tr>
        </w:tbl>
      </w:sdtContent>
    </w:sdt>
    <w:p w:rsidR="00000000" w:rsidDel="00000000" w:rsidP="00000000" w:rsidRDefault="00000000" w:rsidRPr="00000000" w14:paraId="000000BF">
      <w:pPr>
        <w:pStyle w:val="Heading2"/>
        <w:rPr/>
      </w:pPr>
      <w:r w:rsidDel="00000000" w:rsidR="00000000" w:rsidRPr="00000000">
        <w:rPr>
          <w:rtl w:val="0"/>
        </w:rPr>
      </w:r>
    </w:p>
    <w:p w:rsidR="00000000" w:rsidDel="00000000" w:rsidP="00000000" w:rsidRDefault="00000000" w:rsidRPr="00000000" w14:paraId="000000C0">
      <w:pPr>
        <w:pStyle w:val="Heading2"/>
        <w:rPr/>
      </w:pPr>
      <w:r w:rsidDel="00000000" w:rsidR="00000000" w:rsidRPr="00000000">
        <w:rPr>
          <w:rtl w:val="0"/>
        </w:rPr>
        <w:t xml:space="preserve">Competitive Landscape  - what does competition offer? We are faster and cheaper</w:t>
      </w:r>
    </w:p>
    <w:p w:rsidR="00000000" w:rsidDel="00000000" w:rsidP="00000000" w:rsidRDefault="00000000" w:rsidRPr="00000000" w14:paraId="000000C1">
      <w:pPr>
        <w:rPr>
          <w:rFonts w:ascii="Garamond" w:cs="Garamond" w:eastAsia="Garamond" w:hAnsi="Garamond"/>
          <w:b w:val="1"/>
        </w:rPr>
      </w:pPr>
      <w:r w:rsidDel="00000000" w:rsidR="00000000" w:rsidRPr="00000000">
        <w:rPr>
          <w:rFonts w:ascii="Garamond" w:cs="Garamond" w:eastAsia="Garamond" w:hAnsi="Garamond"/>
          <w:b w:val="1"/>
          <w:rtl w:val="0"/>
        </w:rPr>
        <w:t xml:space="preserve">Fee Benchmarking  </w:t>
      </w:r>
    </w:p>
    <w:tbl>
      <w:tblPr>
        <w:tblStyle w:val="Table6"/>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265"/>
        <w:gridCol w:w="2266"/>
        <w:gridCol w:w="2266"/>
        <w:tblGridChange w:id="0">
          <w:tblGrid>
            <w:gridCol w:w="2265"/>
            <w:gridCol w:w="2265"/>
            <w:gridCol w:w="2266"/>
            <w:gridCol w:w="2266"/>
          </w:tblGrid>
        </w:tblGridChange>
      </w:tblGrid>
      <w:tr>
        <w:trPr>
          <w:cantSplit w:val="0"/>
          <w:tblHeader w:val="0"/>
        </w:trPr>
        <w:tc>
          <w:tcPr/>
          <w:p w:rsidR="00000000" w:rsidDel="00000000" w:rsidP="00000000" w:rsidRDefault="00000000" w:rsidRPr="00000000" w14:paraId="000000C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Platform</w:t>
            </w:r>
          </w:p>
        </w:tc>
        <w:tc>
          <w:tcPr/>
          <w:p w:rsidR="00000000" w:rsidDel="00000000" w:rsidP="00000000" w:rsidRDefault="00000000" w:rsidRPr="00000000" w14:paraId="000000C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Management Fee</w:t>
            </w:r>
          </w:p>
        </w:tc>
        <w:tc>
          <w:tcPr/>
          <w:p w:rsidR="00000000" w:rsidDel="00000000" w:rsidP="00000000" w:rsidRDefault="00000000" w:rsidRPr="00000000" w14:paraId="000000C4">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Performance Fee</w:t>
            </w:r>
          </w:p>
        </w:tc>
        <w:tc>
          <w:tcPr/>
          <w:p w:rsidR="00000000" w:rsidDel="00000000" w:rsidP="00000000" w:rsidRDefault="00000000" w:rsidRPr="00000000" w14:paraId="000000C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Minimum Investment</w:t>
            </w:r>
          </w:p>
        </w:tc>
      </w:tr>
      <w:tr>
        <w:trPr>
          <w:cantSplit w:val="0"/>
          <w:tblHeader w:val="0"/>
        </w:trPr>
        <w:tc>
          <w:tcPr/>
          <w:p w:rsidR="00000000" w:rsidDel="00000000" w:rsidP="00000000" w:rsidRDefault="00000000" w:rsidRPr="00000000" w14:paraId="000000C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Our SHREC Model</w:t>
            </w:r>
          </w:p>
        </w:tc>
        <w:tc>
          <w:tcPr/>
          <w:p w:rsidR="00000000" w:rsidDel="00000000" w:rsidP="00000000" w:rsidRDefault="00000000" w:rsidRPr="00000000" w14:paraId="000000C7">
            <w:pPr>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2% </w:t>
            </w:r>
            <w:r w:rsidDel="00000000" w:rsidR="00000000" w:rsidRPr="00000000">
              <w:rPr>
                <w:rFonts w:ascii="Garamond" w:cs="Garamond" w:eastAsia="Garamond" w:hAnsi="Garamond"/>
                <w:b w:val="1"/>
                <w:sz w:val="22"/>
                <w:szCs w:val="22"/>
                <w:rtl w:val="0"/>
              </w:rPr>
              <w:t xml:space="preserve">(join waitlist to get 1% first year)</w:t>
            </w:r>
          </w:p>
        </w:tc>
        <w:tc>
          <w:tcPr/>
          <w:p w:rsidR="00000000" w:rsidDel="00000000" w:rsidP="00000000" w:rsidRDefault="00000000" w:rsidRPr="00000000" w14:paraId="000000C8">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20%</w:t>
            </w:r>
          </w:p>
        </w:tc>
        <w:tc>
          <w:tcPr/>
          <w:p w:rsidR="00000000" w:rsidDel="00000000" w:rsidP="00000000" w:rsidRDefault="00000000" w:rsidRPr="00000000" w14:paraId="000000C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€100</w:t>
            </w:r>
          </w:p>
        </w:tc>
      </w:tr>
      <w:tr>
        <w:trPr>
          <w:cantSplit w:val="0"/>
          <w:tblHeader w:val="0"/>
        </w:trPr>
        <w:tc>
          <w:tcPr/>
          <w:p w:rsidR="00000000" w:rsidDel="00000000" w:rsidP="00000000" w:rsidRDefault="00000000" w:rsidRPr="00000000" w14:paraId="000000C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RealT</w:t>
            </w:r>
          </w:p>
        </w:tc>
        <w:tc>
          <w:tcPr/>
          <w:p w:rsidR="00000000" w:rsidDel="00000000" w:rsidP="00000000" w:rsidRDefault="00000000" w:rsidRPr="00000000" w14:paraId="000000C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2.5%</w:t>
            </w:r>
          </w:p>
        </w:tc>
        <w:tc>
          <w:tcPr/>
          <w:p w:rsidR="00000000" w:rsidDel="00000000" w:rsidP="00000000" w:rsidRDefault="00000000" w:rsidRPr="00000000" w14:paraId="000000C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15%</w:t>
            </w:r>
          </w:p>
        </w:tc>
        <w:tc>
          <w:tcPr/>
          <w:p w:rsidR="00000000" w:rsidDel="00000000" w:rsidP="00000000" w:rsidRDefault="00000000" w:rsidRPr="00000000" w14:paraId="000000C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€50</w:t>
            </w:r>
          </w:p>
        </w:tc>
      </w:tr>
      <w:tr>
        <w:trPr>
          <w:cantSplit w:val="0"/>
          <w:tblHeader w:val="0"/>
        </w:trPr>
        <w:tc>
          <w:tcPr/>
          <w:p w:rsidR="00000000" w:rsidDel="00000000" w:rsidP="00000000" w:rsidRDefault="00000000" w:rsidRPr="00000000" w14:paraId="000000CE">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PropertyCoin</w:t>
            </w:r>
          </w:p>
        </w:tc>
        <w:tc>
          <w:tcPr/>
          <w:p w:rsidR="00000000" w:rsidDel="00000000" w:rsidP="00000000" w:rsidRDefault="00000000" w:rsidRPr="00000000" w14:paraId="000000C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1.5%</w:t>
            </w:r>
          </w:p>
        </w:tc>
        <w:tc>
          <w:tcPr/>
          <w:p w:rsidR="00000000" w:rsidDel="00000000" w:rsidP="00000000" w:rsidRDefault="00000000" w:rsidRPr="00000000" w14:paraId="000000D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10%</w:t>
            </w:r>
          </w:p>
        </w:tc>
        <w:tc>
          <w:tcPr/>
          <w:p w:rsidR="00000000" w:rsidDel="00000000" w:rsidP="00000000" w:rsidRDefault="00000000" w:rsidRPr="00000000" w14:paraId="000000D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€1,000</w:t>
            </w:r>
          </w:p>
        </w:tc>
      </w:tr>
    </w:tbl>
    <w:p w:rsidR="00000000" w:rsidDel="00000000" w:rsidP="00000000" w:rsidRDefault="00000000" w:rsidRPr="00000000" w14:paraId="000000D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Advantage: Combined 20% performance fee + sub-2% management fee outperforms competitors' 15-25% total fee structures.  </w:t>
      </w:r>
    </w:p>
    <w:p w:rsidR="00000000" w:rsidDel="00000000" w:rsidP="00000000" w:rsidRDefault="00000000" w:rsidRPr="00000000" w14:paraId="000000D3">
      <w:pP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Exit Strategy</w:t>
      </w:r>
      <w:r w:rsidDel="00000000" w:rsidR="00000000" w:rsidRPr="00000000">
        <w:rPr>
          <w:rFonts w:ascii="Garamond" w:cs="Garamond" w:eastAsia="Garamond" w:hAnsi="Garamond"/>
          <w:sz w:val="22"/>
          <w:szCs w:val="22"/>
          <w:rtl w:val="0"/>
        </w:rPr>
        <w:t xml:space="preserve">: Sell 20% of portfolio annually starting Year 3, realizing 20% capital gains (€126k profit Year 3, scaling to €420k Year 5).  </w:t>
      </w:r>
    </w:p>
    <w:p w:rsidR="00000000" w:rsidDel="00000000" w:rsidP="00000000" w:rsidRDefault="00000000" w:rsidRPr="00000000" w14:paraId="000000D4">
      <w:pPr>
        <w:pStyle w:val="Heading2"/>
        <w:rPr/>
      </w:pPr>
      <w:r w:rsidDel="00000000" w:rsidR="00000000" w:rsidRPr="00000000">
        <w:rPr>
          <w:rtl w:val="0"/>
        </w:rPr>
        <w:t xml:space="preserve">Risk Mitigation  </w:t>
      </w:r>
    </w:p>
    <w:p w:rsidR="00000000" w:rsidDel="00000000" w:rsidP="00000000" w:rsidRDefault="00000000" w:rsidRPr="00000000" w14:paraId="000000D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 Liquidity Risk: Partner with decentralized exchange (DEX) for secondary token trading  </w:t>
      </w:r>
    </w:p>
    <w:p w:rsidR="00000000" w:rsidDel="00000000" w:rsidP="00000000" w:rsidRDefault="00000000" w:rsidRPr="00000000" w14:paraId="000000D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 Vacancy Risk: AI dynamic pricing adjusts rents to maintain &lt;5% vacancy rate  </w:t>
      </w:r>
    </w:p>
    <w:p w:rsidR="00000000" w:rsidDel="00000000" w:rsidP="00000000" w:rsidRDefault="00000000" w:rsidRPr="00000000" w14:paraId="000000D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 Regulatory Risk: Legal reserve fund covering 6 months of compliance costs  </w:t>
      </w:r>
    </w:p>
    <w:p w:rsidR="00000000" w:rsidDel="00000000" w:rsidP="00000000" w:rsidRDefault="00000000" w:rsidRPr="00000000" w14:paraId="000000D8">
      <w:pPr>
        <w:pStyle w:val="Heading2"/>
        <w:rPr/>
      </w:pPr>
      <w:r w:rsidDel="00000000" w:rsidR="00000000" w:rsidRPr="00000000">
        <w:rPr>
          <w:rtl w:val="0"/>
        </w:rPr>
        <w:t xml:space="preserve">Conclusion  </w:t>
      </w:r>
    </w:p>
    <w:p w:rsidR="00000000" w:rsidDel="00000000" w:rsidP="00000000" w:rsidRDefault="00000000" w:rsidRPr="00000000" w14:paraId="000000D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revised model achieves viability through:  </w:t>
      </w:r>
    </w:p>
    <w:p w:rsidR="00000000" w:rsidDel="00000000" w:rsidP="00000000" w:rsidRDefault="00000000" w:rsidRPr="00000000" w14:paraId="000000DA">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 </w:t>
      </w:r>
      <w:r w:rsidDel="00000000" w:rsidR="00000000" w:rsidRPr="00000000">
        <w:rPr>
          <w:rFonts w:ascii="Garamond" w:cs="Garamond" w:eastAsia="Garamond" w:hAnsi="Garamond"/>
          <w:b w:val="1"/>
          <w:sz w:val="22"/>
          <w:szCs w:val="22"/>
          <w:rtl w:val="0"/>
        </w:rPr>
        <w:t xml:space="preserve">Tax Optimization</w:t>
      </w:r>
      <w:r w:rsidDel="00000000" w:rsidR="00000000" w:rsidRPr="00000000">
        <w:rPr>
          <w:rFonts w:ascii="Garamond" w:cs="Garamond" w:eastAsia="Garamond" w:hAnsi="Garamond"/>
          <w:sz w:val="22"/>
          <w:szCs w:val="22"/>
          <w:rtl w:val="0"/>
        </w:rPr>
        <w:t xml:space="preserve">: Prioritizing Czech acquisitions despite higher corporate tax, acquire Serbian and other markets asap to provide stability</w:t>
      </w:r>
    </w:p>
    <w:p w:rsidR="00000000" w:rsidDel="00000000" w:rsidP="00000000" w:rsidRDefault="00000000" w:rsidRPr="00000000" w14:paraId="000000D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 </w:t>
      </w:r>
      <w:r w:rsidDel="00000000" w:rsidR="00000000" w:rsidRPr="00000000">
        <w:rPr>
          <w:rFonts w:ascii="Garamond" w:cs="Garamond" w:eastAsia="Garamond" w:hAnsi="Garamond"/>
          <w:b w:val="1"/>
          <w:sz w:val="22"/>
          <w:szCs w:val="22"/>
          <w:rtl w:val="0"/>
        </w:rPr>
        <w:t xml:space="preserve">Cost Containment</w:t>
      </w:r>
      <w:r w:rsidDel="00000000" w:rsidR="00000000" w:rsidRPr="00000000">
        <w:rPr>
          <w:rFonts w:ascii="Garamond" w:cs="Garamond" w:eastAsia="Garamond" w:hAnsi="Garamond"/>
          <w:sz w:val="22"/>
          <w:szCs w:val="22"/>
          <w:rtl w:val="0"/>
        </w:rPr>
        <w:t xml:space="preserve">: 61% reduction in fixed staff costs via outsourcing  </w:t>
      </w:r>
    </w:p>
    <w:p w:rsidR="00000000" w:rsidDel="00000000" w:rsidP="00000000" w:rsidRDefault="00000000" w:rsidRPr="00000000" w14:paraId="000000D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 </w:t>
      </w:r>
      <w:r w:rsidDel="00000000" w:rsidR="00000000" w:rsidRPr="00000000">
        <w:rPr>
          <w:rFonts w:ascii="Garamond" w:cs="Garamond" w:eastAsia="Garamond" w:hAnsi="Garamond"/>
          <w:b w:val="1"/>
          <w:sz w:val="22"/>
          <w:szCs w:val="22"/>
          <w:rtl w:val="0"/>
        </w:rPr>
        <w:t xml:space="preserve">Technology Leverage</w:t>
      </w:r>
      <w:r w:rsidDel="00000000" w:rsidR="00000000" w:rsidRPr="00000000">
        <w:rPr>
          <w:rFonts w:ascii="Garamond" w:cs="Garamond" w:eastAsia="Garamond" w:hAnsi="Garamond"/>
          <w:sz w:val="22"/>
          <w:szCs w:val="22"/>
          <w:rtl w:val="0"/>
        </w:rPr>
        <w:t xml:space="preserve">: AI handles 85% of tenant/owner interactions that lowers costs</w:t>
      </w:r>
    </w:p>
    <w:p w:rsidR="00000000" w:rsidDel="00000000" w:rsidP="00000000" w:rsidRDefault="00000000" w:rsidRPr="00000000" w14:paraId="000000DD">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E">
      <w:pPr>
        <w:pStyle w:val="Heading2"/>
        <w:rPr/>
      </w:pPr>
      <w:r w:rsidDel="00000000" w:rsidR="00000000" w:rsidRPr="00000000">
        <w:rPr>
          <w:rtl w:val="0"/>
        </w:rPr>
        <w:t xml:space="preserve">Investor Value Proposition:  </w:t>
      </w:r>
    </w:p>
    <w:p w:rsidR="00000000" w:rsidDel="00000000" w:rsidP="00000000" w:rsidRDefault="00000000" w:rsidRPr="00000000" w14:paraId="000000DF">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- 6-8% annual dividend yield  </w:t>
      </w:r>
    </w:p>
    <w:p w:rsidR="00000000" w:rsidDel="00000000" w:rsidP="00000000" w:rsidRDefault="00000000" w:rsidRPr="00000000" w14:paraId="000000E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- 20% participation in asset appreciation  </w:t>
      </w:r>
    </w:p>
    <w:p w:rsidR="00000000" w:rsidDel="00000000" w:rsidP="00000000" w:rsidRDefault="00000000" w:rsidRPr="00000000" w14:paraId="000000E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Full liquidity via token swaps since first moment, sell out to us after 24-36-month holding period  </w:t>
      </w:r>
    </w:p>
    <w:p w:rsidR="00000000" w:rsidDel="00000000" w:rsidP="00000000" w:rsidRDefault="00000000" w:rsidRPr="00000000" w14:paraId="000000E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This structure positions the platform to capture 1-2% of Europe’s €240B tokenized real estate market by 2030.</w:t>
      </w:r>
    </w:p>
    <w:p w:rsidR="00000000" w:rsidDel="00000000" w:rsidP="00000000" w:rsidRDefault="00000000" w:rsidRPr="00000000" w14:paraId="000000E3">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Prague April 23</w:t>
      </w:r>
      <w:r w:rsidDel="00000000" w:rsidR="00000000" w:rsidRPr="00000000">
        <w:rPr>
          <w:rFonts w:ascii="Garamond" w:cs="Garamond" w:eastAsia="Garamond" w:hAnsi="Garamond"/>
          <w:sz w:val="22"/>
          <w:szCs w:val="22"/>
          <w:vertAlign w:val="superscript"/>
          <w:rtl w:val="0"/>
        </w:rPr>
        <w:t xml:space="preserve">rd</w:t>
      </w:r>
      <w:r w:rsidDel="00000000" w:rsidR="00000000" w:rsidRPr="00000000">
        <w:rPr>
          <w:rFonts w:ascii="Garamond" w:cs="Garamond" w:eastAsia="Garamond" w:hAnsi="Garamond"/>
          <w:sz w:val="22"/>
          <w:szCs w:val="22"/>
          <w:rtl w:val="0"/>
        </w:rPr>
        <w:t xml:space="preserve">, 2025</w:t>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 w:name="Cardo">
    <w:embedRegular w:fontKey="{00000000-0000-0000-0000-000000000000}" r:id="rId3" w:subsetted="0"/>
    <w:embedBold w:fontKey="{00000000-0000-0000-0000-000000000000}" r:id="rId4" w:subsetted="0"/>
    <w:embedItalic w:fontKey="{00000000-0000-0000-0000-000000000000}" r:id="rId5" w:subsetted="0"/>
  </w:font>
  <w:font w:name="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GB"/>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ln" w:default="1">
    <w:name w:val="Normal"/>
    <w:qFormat w:val="1"/>
  </w:style>
  <w:style w:type="paragraph" w:styleId="Nadpis1">
    <w:name w:val="heading 1"/>
    <w:basedOn w:val="Normln"/>
    <w:next w:val="Normln"/>
    <w:link w:val="Nadpis1Char"/>
    <w:uiPriority w:val="9"/>
    <w:qFormat w:val="1"/>
    <w:rsid w:val="003F1165"/>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Nadpis2">
    <w:name w:val="heading 2"/>
    <w:basedOn w:val="Normln"/>
    <w:next w:val="Normln"/>
    <w:link w:val="Nadpis2Char"/>
    <w:uiPriority w:val="9"/>
    <w:unhideWhenUsed w:val="1"/>
    <w:qFormat w:val="1"/>
    <w:rsid w:val="003F1165"/>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Nadpis3">
    <w:name w:val="heading 3"/>
    <w:basedOn w:val="Normln"/>
    <w:next w:val="Normln"/>
    <w:link w:val="Nadpis3Char"/>
    <w:uiPriority w:val="9"/>
    <w:unhideWhenUsed w:val="1"/>
    <w:qFormat w:val="1"/>
    <w:rsid w:val="003F1165"/>
    <w:pPr>
      <w:keepNext w:val="1"/>
      <w:keepLines w:val="1"/>
      <w:spacing w:after="80" w:before="160"/>
      <w:outlineLvl w:val="2"/>
    </w:pPr>
    <w:rPr>
      <w:rFonts w:cstheme="majorBidi" w:eastAsiaTheme="majorEastAsia"/>
      <w:color w:val="0f4761" w:themeColor="accent1" w:themeShade="0000BF"/>
      <w:sz w:val="28"/>
      <w:szCs w:val="28"/>
    </w:rPr>
  </w:style>
  <w:style w:type="paragraph" w:styleId="Nadpis4">
    <w:name w:val="heading 4"/>
    <w:basedOn w:val="Normln"/>
    <w:next w:val="Normln"/>
    <w:link w:val="Nadpis4Char"/>
    <w:uiPriority w:val="9"/>
    <w:unhideWhenUsed w:val="1"/>
    <w:qFormat w:val="1"/>
    <w:rsid w:val="003F1165"/>
    <w:pPr>
      <w:keepNext w:val="1"/>
      <w:keepLines w:val="1"/>
      <w:spacing w:after="40" w:before="80"/>
      <w:outlineLvl w:val="3"/>
    </w:pPr>
    <w:rPr>
      <w:rFonts w:cstheme="majorBidi" w:eastAsiaTheme="majorEastAsia"/>
      <w:i w:val="1"/>
      <w:iCs w:val="1"/>
      <w:color w:val="0f4761" w:themeColor="accent1" w:themeShade="0000BF"/>
    </w:rPr>
  </w:style>
  <w:style w:type="paragraph" w:styleId="Nadpis5">
    <w:name w:val="heading 5"/>
    <w:basedOn w:val="Normln"/>
    <w:next w:val="Normln"/>
    <w:link w:val="Nadpis5Char"/>
    <w:uiPriority w:val="9"/>
    <w:semiHidden w:val="1"/>
    <w:unhideWhenUsed w:val="1"/>
    <w:qFormat w:val="1"/>
    <w:rsid w:val="003F1165"/>
    <w:pPr>
      <w:keepNext w:val="1"/>
      <w:keepLines w:val="1"/>
      <w:spacing w:after="40" w:before="80"/>
      <w:outlineLvl w:val="4"/>
    </w:pPr>
    <w:rPr>
      <w:rFonts w:cstheme="majorBidi" w:eastAsiaTheme="majorEastAsia"/>
      <w:color w:val="0f4761" w:themeColor="accent1" w:themeShade="0000BF"/>
    </w:rPr>
  </w:style>
  <w:style w:type="paragraph" w:styleId="Nadpis6">
    <w:name w:val="heading 6"/>
    <w:basedOn w:val="Normln"/>
    <w:next w:val="Normln"/>
    <w:link w:val="Nadpis6Char"/>
    <w:uiPriority w:val="9"/>
    <w:semiHidden w:val="1"/>
    <w:unhideWhenUsed w:val="1"/>
    <w:qFormat w:val="1"/>
    <w:rsid w:val="003F1165"/>
    <w:pPr>
      <w:keepNext w:val="1"/>
      <w:keepLines w:val="1"/>
      <w:spacing w:after="0" w:before="40"/>
      <w:outlineLvl w:val="5"/>
    </w:pPr>
    <w:rPr>
      <w:rFonts w:cstheme="majorBidi" w:eastAsiaTheme="majorEastAsia"/>
      <w:i w:val="1"/>
      <w:iCs w:val="1"/>
      <w:color w:val="595959" w:themeColor="text1" w:themeTint="0000A6"/>
    </w:rPr>
  </w:style>
  <w:style w:type="paragraph" w:styleId="Nadpis7">
    <w:name w:val="heading 7"/>
    <w:basedOn w:val="Normln"/>
    <w:next w:val="Normln"/>
    <w:link w:val="Nadpis7Char"/>
    <w:uiPriority w:val="9"/>
    <w:semiHidden w:val="1"/>
    <w:unhideWhenUsed w:val="1"/>
    <w:qFormat w:val="1"/>
    <w:rsid w:val="003F1165"/>
    <w:pPr>
      <w:keepNext w:val="1"/>
      <w:keepLines w:val="1"/>
      <w:spacing w:after="0" w:before="40"/>
      <w:outlineLvl w:val="6"/>
    </w:pPr>
    <w:rPr>
      <w:rFonts w:cstheme="majorBidi" w:eastAsiaTheme="majorEastAsia"/>
      <w:color w:val="595959" w:themeColor="text1" w:themeTint="0000A6"/>
    </w:rPr>
  </w:style>
  <w:style w:type="paragraph" w:styleId="Nadpis8">
    <w:name w:val="heading 8"/>
    <w:basedOn w:val="Normln"/>
    <w:next w:val="Normln"/>
    <w:link w:val="Nadpis8Char"/>
    <w:uiPriority w:val="9"/>
    <w:semiHidden w:val="1"/>
    <w:unhideWhenUsed w:val="1"/>
    <w:qFormat w:val="1"/>
    <w:rsid w:val="003F1165"/>
    <w:pPr>
      <w:keepNext w:val="1"/>
      <w:keepLines w:val="1"/>
      <w:spacing w:after="0"/>
      <w:outlineLvl w:val="7"/>
    </w:pPr>
    <w:rPr>
      <w:rFonts w:cstheme="majorBidi" w:eastAsiaTheme="majorEastAsia"/>
      <w:i w:val="1"/>
      <w:iCs w:val="1"/>
      <w:color w:val="272727" w:themeColor="text1" w:themeTint="0000D8"/>
    </w:rPr>
  </w:style>
  <w:style w:type="paragraph" w:styleId="Nadpis9">
    <w:name w:val="heading 9"/>
    <w:basedOn w:val="Normln"/>
    <w:next w:val="Normln"/>
    <w:link w:val="Nadpis9Char"/>
    <w:uiPriority w:val="9"/>
    <w:semiHidden w:val="1"/>
    <w:unhideWhenUsed w:val="1"/>
    <w:qFormat w:val="1"/>
    <w:rsid w:val="003F1165"/>
    <w:pPr>
      <w:keepNext w:val="1"/>
      <w:keepLines w:val="1"/>
      <w:spacing w:after="0"/>
      <w:outlineLvl w:val="8"/>
    </w:pPr>
    <w:rPr>
      <w:rFonts w:cstheme="majorBidi" w:eastAsiaTheme="majorEastAsia"/>
      <w:color w:val="272727" w:themeColor="text1" w:themeTint="0000D8"/>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1Char" w:customStyle="1">
    <w:name w:val="Nadpis 1 Char"/>
    <w:basedOn w:val="Standardnpsmoodstavce"/>
    <w:link w:val="Nadpis1"/>
    <w:uiPriority w:val="9"/>
    <w:rsid w:val="003F1165"/>
    <w:rPr>
      <w:rFonts w:asciiTheme="majorHAnsi" w:cstheme="majorBidi" w:eastAsiaTheme="majorEastAsia" w:hAnsiTheme="majorHAnsi"/>
      <w:color w:val="0f4761" w:themeColor="accent1" w:themeShade="0000BF"/>
      <w:sz w:val="40"/>
      <w:szCs w:val="40"/>
    </w:rPr>
  </w:style>
  <w:style w:type="character" w:styleId="Nadpis2Char" w:customStyle="1">
    <w:name w:val="Nadpis 2 Char"/>
    <w:basedOn w:val="Standardnpsmoodstavce"/>
    <w:link w:val="Nadpis2"/>
    <w:uiPriority w:val="9"/>
    <w:rsid w:val="003F1165"/>
    <w:rPr>
      <w:rFonts w:asciiTheme="majorHAnsi" w:cstheme="majorBidi" w:eastAsiaTheme="majorEastAsia" w:hAnsiTheme="majorHAnsi"/>
      <w:color w:val="0f4761" w:themeColor="accent1" w:themeShade="0000BF"/>
      <w:sz w:val="32"/>
      <w:szCs w:val="32"/>
    </w:rPr>
  </w:style>
  <w:style w:type="character" w:styleId="Nadpis3Char" w:customStyle="1">
    <w:name w:val="Nadpis 3 Char"/>
    <w:basedOn w:val="Standardnpsmoodstavce"/>
    <w:link w:val="Nadpis3"/>
    <w:uiPriority w:val="9"/>
    <w:rsid w:val="003F1165"/>
    <w:rPr>
      <w:rFonts w:cstheme="majorBidi" w:eastAsiaTheme="majorEastAsia"/>
      <w:color w:val="0f4761" w:themeColor="accent1" w:themeShade="0000BF"/>
      <w:sz w:val="28"/>
      <w:szCs w:val="28"/>
    </w:rPr>
  </w:style>
  <w:style w:type="character" w:styleId="Nadpis4Char" w:customStyle="1">
    <w:name w:val="Nadpis 4 Char"/>
    <w:basedOn w:val="Standardnpsmoodstavce"/>
    <w:link w:val="Nadpis4"/>
    <w:uiPriority w:val="9"/>
    <w:rsid w:val="003F1165"/>
    <w:rPr>
      <w:rFonts w:cstheme="majorBidi" w:eastAsiaTheme="majorEastAsia"/>
      <w:i w:val="1"/>
      <w:iCs w:val="1"/>
      <w:color w:val="0f4761" w:themeColor="accent1" w:themeShade="0000BF"/>
    </w:rPr>
  </w:style>
  <w:style w:type="character" w:styleId="Nadpis5Char" w:customStyle="1">
    <w:name w:val="Nadpis 5 Char"/>
    <w:basedOn w:val="Standardnpsmoodstavce"/>
    <w:link w:val="Nadpis5"/>
    <w:uiPriority w:val="9"/>
    <w:semiHidden w:val="1"/>
    <w:rsid w:val="003F1165"/>
    <w:rPr>
      <w:rFonts w:cstheme="majorBidi" w:eastAsiaTheme="majorEastAsia"/>
      <w:color w:val="0f4761" w:themeColor="accent1" w:themeShade="0000BF"/>
    </w:rPr>
  </w:style>
  <w:style w:type="character" w:styleId="Nadpis6Char" w:customStyle="1">
    <w:name w:val="Nadpis 6 Char"/>
    <w:basedOn w:val="Standardnpsmoodstavce"/>
    <w:link w:val="Nadpis6"/>
    <w:uiPriority w:val="9"/>
    <w:semiHidden w:val="1"/>
    <w:rsid w:val="003F1165"/>
    <w:rPr>
      <w:rFonts w:cstheme="majorBidi" w:eastAsiaTheme="majorEastAsia"/>
      <w:i w:val="1"/>
      <w:iCs w:val="1"/>
      <w:color w:val="595959" w:themeColor="text1" w:themeTint="0000A6"/>
    </w:rPr>
  </w:style>
  <w:style w:type="character" w:styleId="Nadpis7Char" w:customStyle="1">
    <w:name w:val="Nadpis 7 Char"/>
    <w:basedOn w:val="Standardnpsmoodstavce"/>
    <w:link w:val="Nadpis7"/>
    <w:uiPriority w:val="9"/>
    <w:semiHidden w:val="1"/>
    <w:rsid w:val="003F1165"/>
    <w:rPr>
      <w:rFonts w:cstheme="majorBidi" w:eastAsiaTheme="majorEastAsia"/>
      <w:color w:val="595959" w:themeColor="text1" w:themeTint="0000A6"/>
    </w:rPr>
  </w:style>
  <w:style w:type="character" w:styleId="Nadpis8Char" w:customStyle="1">
    <w:name w:val="Nadpis 8 Char"/>
    <w:basedOn w:val="Standardnpsmoodstavce"/>
    <w:link w:val="Nadpis8"/>
    <w:uiPriority w:val="9"/>
    <w:semiHidden w:val="1"/>
    <w:rsid w:val="003F1165"/>
    <w:rPr>
      <w:rFonts w:cstheme="majorBidi" w:eastAsiaTheme="majorEastAsia"/>
      <w:i w:val="1"/>
      <w:iCs w:val="1"/>
      <w:color w:val="272727" w:themeColor="text1" w:themeTint="0000D8"/>
    </w:rPr>
  </w:style>
  <w:style w:type="character" w:styleId="Nadpis9Char" w:customStyle="1">
    <w:name w:val="Nadpis 9 Char"/>
    <w:basedOn w:val="Standardnpsmoodstavce"/>
    <w:link w:val="Nadpis9"/>
    <w:uiPriority w:val="9"/>
    <w:semiHidden w:val="1"/>
    <w:rsid w:val="003F1165"/>
    <w:rPr>
      <w:rFonts w:cstheme="majorBidi" w:eastAsiaTheme="majorEastAsia"/>
      <w:color w:val="272727" w:themeColor="text1" w:themeTint="0000D8"/>
    </w:rPr>
  </w:style>
  <w:style w:type="paragraph" w:styleId="Nzev">
    <w:name w:val="Title"/>
    <w:basedOn w:val="Normln"/>
    <w:next w:val="Normln"/>
    <w:link w:val="NzevChar"/>
    <w:uiPriority w:val="10"/>
    <w:qFormat w:val="1"/>
    <w:rsid w:val="003F1165"/>
    <w:pPr>
      <w:spacing w:after="80" w:line="240" w:lineRule="auto"/>
      <w:contextualSpacing w:val="1"/>
    </w:pPr>
    <w:rPr>
      <w:rFonts w:asciiTheme="majorHAnsi" w:cstheme="majorBidi" w:eastAsiaTheme="majorEastAsia" w:hAnsiTheme="majorHAnsi"/>
      <w:spacing w:val="-10"/>
      <w:kern w:val="28"/>
      <w:sz w:val="56"/>
      <w:szCs w:val="56"/>
    </w:rPr>
  </w:style>
  <w:style w:type="character" w:styleId="NzevChar" w:customStyle="1">
    <w:name w:val="Název Char"/>
    <w:basedOn w:val="Standardnpsmoodstavce"/>
    <w:link w:val="Nzev"/>
    <w:uiPriority w:val="10"/>
    <w:rsid w:val="003F1165"/>
    <w:rPr>
      <w:rFonts w:asciiTheme="majorHAnsi" w:cstheme="majorBidi" w:eastAsiaTheme="majorEastAsia" w:hAnsiTheme="majorHAnsi"/>
      <w:spacing w:val="-10"/>
      <w:kern w:val="28"/>
      <w:sz w:val="56"/>
      <w:szCs w:val="56"/>
    </w:rPr>
  </w:style>
  <w:style w:type="paragraph" w:styleId="Podnadpis">
    <w:name w:val="Subtitle"/>
    <w:basedOn w:val="Normln"/>
    <w:next w:val="Normln"/>
    <w:link w:val="PodnadpisChar"/>
    <w:uiPriority w:val="11"/>
    <w:qFormat w:val="1"/>
    <w:rsid w:val="003F1165"/>
    <w:pPr>
      <w:numPr>
        <w:ilvl w:val="1"/>
      </w:numPr>
    </w:pPr>
    <w:rPr>
      <w:rFonts w:cstheme="majorBidi" w:eastAsiaTheme="majorEastAsia"/>
      <w:color w:val="595959" w:themeColor="text1" w:themeTint="0000A6"/>
      <w:spacing w:val="15"/>
      <w:sz w:val="28"/>
      <w:szCs w:val="28"/>
    </w:rPr>
  </w:style>
  <w:style w:type="character" w:styleId="PodnadpisChar" w:customStyle="1">
    <w:name w:val="Podnadpis Char"/>
    <w:basedOn w:val="Standardnpsmoodstavce"/>
    <w:link w:val="Podnadpis"/>
    <w:uiPriority w:val="11"/>
    <w:rsid w:val="003F1165"/>
    <w:rPr>
      <w:rFonts w:cstheme="majorBidi" w:eastAsiaTheme="majorEastAsia"/>
      <w:color w:val="595959" w:themeColor="text1" w:themeTint="0000A6"/>
      <w:spacing w:val="15"/>
      <w:sz w:val="28"/>
      <w:szCs w:val="28"/>
    </w:rPr>
  </w:style>
  <w:style w:type="paragraph" w:styleId="Citt">
    <w:name w:val="Quote"/>
    <w:basedOn w:val="Normln"/>
    <w:next w:val="Normln"/>
    <w:link w:val="CittChar"/>
    <w:uiPriority w:val="29"/>
    <w:qFormat w:val="1"/>
    <w:rsid w:val="003F1165"/>
    <w:pPr>
      <w:spacing w:before="160"/>
      <w:jc w:val="center"/>
    </w:pPr>
    <w:rPr>
      <w:i w:val="1"/>
      <w:iCs w:val="1"/>
      <w:color w:val="404040" w:themeColor="text1" w:themeTint="0000BF"/>
    </w:rPr>
  </w:style>
  <w:style w:type="character" w:styleId="CittChar" w:customStyle="1">
    <w:name w:val="Citát Char"/>
    <w:basedOn w:val="Standardnpsmoodstavce"/>
    <w:link w:val="Citt"/>
    <w:uiPriority w:val="29"/>
    <w:rsid w:val="003F1165"/>
    <w:rPr>
      <w:i w:val="1"/>
      <w:iCs w:val="1"/>
      <w:color w:val="404040" w:themeColor="text1" w:themeTint="0000BF"/>
    </w:rPr>
  </w:style>
  <w:style w:type="paragraph" w:styleId="Odstavecseseznamem">
    <w:name w:val="List Paragraph"/>
    <w:basedOn w:val="Normln"/>
    <w:uiPriority w:val="34"/>
    <w:qFormat w:val="1"/>
    <w:rsid w:val="003F1165"/>
    <w:pPr>
      <w:ind w:left="720"/>
      <w:contextualSpacing w:val="1"/>
    </w:pPr>
  </w:style>
  <w:style w:type="character" w:styleId="Zdraznnintenzivn">
    <w:name w:val="Intense Emphasis"/>
    <w:basedOn w:val="Standardnpsmoodstavce"/>
    <w:uiPriority w:val="21"/>
    <w:qFormat w:val="1"/>
    <w:rsid w:val="003F1165"/>
    <w:rPr>
      <w:i w:val="1"/>
      <w:iCs w:val="1"/>
      <w:color w:val="0f4761" w:themeColor="accent1" w:themeShade="0000BF"/>
    </w:rPr>
  </w:style>
  <w:style w:type="paragraph" w:styleId="Vrazncitt">
    <w:name w:val="Intense Quote"/>
    <w:basedOn w:val="Normln"/>
    <w:next w:val="Normln"/>
    <w:link w:val="VrazncittChar"/>
    <w:uiPriority w:val="30"/>
    <w:qFormat w:val="1"/>
    <w:rsid w:val="003F1165"/>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VrazncittChar" w:customStyle="1">
    <w:name w:val="Výrazný citát Char"/>
    <w:basedOn w:val="Standardnpsmoodstavce"/>
    <w:link w:val="Vrazncitt"/>
    <w:uiPriority w:val="30"/>
    <w:rsid w:val="003F1165"/>
    <w:rPr>
      <w:i w:val="1"/>
      <w:iCs w:val="1"/>
      <w:color w:val="0f4761" w:themeColor="accent1" w:themeShade="0000BF"/>
    </w:rPr>
  </w:style>
  <w:style w:type="character" w:styleId="Odkazintenzivn">
    <w:name w:val="Intense Reference"/>
    <w:basedOn w:val="Standardnpsmoodstavce"/>
    <w:uiPriority w:val="32"/>
    <w:qFormat w:val="1"/>
    <w:rsid w:val="003F1165"/>
    <w:rPr>
      <w:b w:val="1"/>
      <w:bCs w:val="1"/>
      <w:smallCaps w:val="1"/>
      <w:color w:val="0f4761" w:themeColor="accent1" w:themeShade="0000BF"/>
      <w:spacing w:val="5"/>
    </w:rPr>
  </w:style>
  <w:style w:type="table" w:styleId="Mkatabulky">
    <w:name w:val="Table Grid"/>
    <w:basedOn w:val="Normlntabulka"/>
    <w:uiPriority w:val="39"/>
    <w:rsid w:val="003F116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rdo-regular.ttf"/><Relationship Id="rId4" Type="http://schemas.openxmlformats.org/officeDocument/2006/relationships/font" Target="fonts/Cardo-bold.ttf"/><Relationship Id="rId9" Type="http://schemas.openxmlformats.org/officeDocument/2006/relationships/font" Target="fonts/Garamond-boldItalic.ttf"/><Relationship Id="rId5" Type="http://schemas.openxmlformats.org/officeDocument/2006/relationships/font" Target="fonts/Cardo-italic.ttf"/><Relationship Id="rId6" Type="http://schemas.openxmlformats.org/officeDocument/2006/relationships/font" Target="fonts/Garamond-regular.ttf"/><Relationship Id="rId7" Type="http://schemas.openxmlformats.org/officeDocument/2006/relationships/font" Target="fonts/Garamond-bold.ttf"/><Relationship Id="rId8" Type="http://schemas.openxmlformats.org/officeDocument/2006/relationships/font" Target="fonts/Garamond-italic.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3BeL7++fNBMxB9mQ2vf3dJDlYw==">CgMxLjAaHAoBMBIXChUIB0IRCghHYXJhbW9uZBIFQ2FyZG8aHwoBMRIaChgICVIUChJ0YWJsZS5nZWVzZ3Y0MWs3MGEyDmgudml5ZGQwbHRmYnd4OAByITFYUkV1Qlh0bWpSbC16eE10WnlsaU8tTFZnOGhHYzJoOQ==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2025-04-23T09:55:00Z</dcterms:created>
  <dc:creator>Petr Uklein, advokát</dc:creator>
</cp:coreProperties>
</file>